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23" w:type="dxa"/>
        <w:tblInd w:w="56" w:type="dxa"/>
        <w:tblLayout w:type="fixed"/>
        <w:tblLook w:val="0000" w:firstRow="0" w:lastRow="0" w:firstColumn="0" w:lastColumn="0" w:noHBand="0" w:noVBand="0"/>
      </w:tblPr>
      <w:tblGrid>
        <w:gridCol w:w="572"/>
        <w:gridCol w:w="2174"/>
        <w:gridCol w:w="3118"/>
        <w:gridCol w:w="2410"/>
        <w:gridCol w:w="1276"/>
        <w:gridCol w:w="1275"/>
        <w:gridCol w:w="851"/>
        <w:gridCol w:w="3147"/>
      </w:tblGrid>
      <w:tr w:rsidR="00432FCA" w:rsidRPr="00760766" w:rsidTr="00432FCA">
        <w:trPr>
          <w:trHeight w:val="570"/>
        </w:trPr>
        <w:tc>
          <w:tcPr>
            <w:tcW w:w="148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FCA" w:rsidRPr="00760766" w:rsidRDefault="00432FCA" w:rsidP="005B3017">
            <w:pPr>
              <w:spacing w:after="0"/>
              <w:jc w:val="center"/>
              <w:rPr>
                <w:rFonts w:ascii="GHEA Grapalat" w:hAnsi="GHEA Grapalat" w:cs="Arial"/>
                <w:noProof/>
                <w:sz w:val="20"/>
                <w:szCs w:val="20"/>
                <w:lang w:val="hy-AM"/>
              </w:rPr>
            </w:pPr>
            <w:r w:rsidRPr="00760766">
              <w:rPr>
                <w:rFonts w:ascii="GHEA Grapalat" w:hAnsi="GHEA Grapalat" w:cs="Arial"/>
                <w:noProof/>
                <w:sz w:val="20"/>
                <w:szCs w:val="20"/>
                <w:lang w:val="hy-AM"/>
              </w:rPr>
              <w:t>Ծառայության</w:t>
            </w:r>
          </w:p>
        </w:tc>
      </w:tr>
      <w:tr w:rsidR="00432FCA" w:rsidRPr="00760766" w:rsidTr="00432FCA">
        <w:trPr>
          <w:trHeight w:val="57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FCA" w:rsidRPr="00760766" w:rsidRDefault="00432FCA" w:rsidP="005B3017">
            <w:pPr>
              <w:spacing w:after="0"/>
              <w:jc w:val="center"/>
              <w:rPr>
                <w:rFonts w:ascii="GHEA Grapalat" w:hAnsi="GHEA Grapalat" w:cs="Arial"/>
                <w:noProof/>
                <w:sz w:val="20"/>
                <w:szCs w:val="20"/>
                <w:lang w:val="hy-AM"/>
              </w:rPr>
            </w:pPr>
            <w:r w:rsidRPr="00760766">
              <w:rPr>
                <w:rFonts w:ascii="GHEA Grapalat" w:hAnsi="GHEA Grapalat" w:cs="Arial"/>
                <w:noProof/>
                <w:sz w:val="20"/>
                <w:szCs w:val="20"/>
                <w:lang w:val="hy-AM"/>
              </w:rPr>
              <w:t>Չ/Հ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FCA" w:rsidRPr="00760766" w:rsidRDefault="00432FCA" w:rsidP="005B3017">
            <w:pPr>
              <w:spacing w:after="0"/>
              <w:jc w:val="center"/>
              <w:rPr>
                <w:rFonts w:ascii="GHEA Grapalat" w:hAnsi="GHEA Grapalat" w:cs="Arial"/>
                <w:noProof/>
                <w:sz w:val="16"/>
                <w:szCs w:val="16"/>
                <w:lang w:val="hy-AM"/>
              </w:rPr>
            </w:pPr>
            <w:r w:rsidRPr="00760766">
              <w:rPr>
                <w:rFonts w:ascii="GHEA Grapalat" w:hAnsi="GHEA Grapalat"/>
                <w:noProof/>
                <w:sz w:val="16"/>
                <w:szCs w:val="16"/>
                <w:lang w:val="hy-AM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2FCA" w:rsidRPr="00760766" w:rsidRDefault="00432FCA" w:rsidP="005B3017">
            <w:pPr>
              <w:spacing w:after="0" w:line="240" w:lineRule="auto"/>
              <w:jc w:val="center"/>
              <w:rPr>
                <w:rFonts w:ascii="GHEA Grapalat" w:hAnsi="GHEA Grapalat" w:cs="Arial"/>
                <w:noProof/>
                <w:sz w:val="20"/>
                <w:szCs w:val="20"/>
                <w:lang w:val="hy-AM"/>
              </w:rPr>
            </w:pPr>
            <w:r w:rsidRPr="00760766">
              <w:rPr>
                <w:rFonts w:ascii="GHEA Grapalat" w:hAnsi="GHEA Grapalat" w:cs="Arial"/>
                <w:noProof/>
                <w:sz w:val="20"/>
                <w:szCs w:val="20"/>
                <w:lang w:val="hy-AM"/>
              </w:rPr>
              <w:t>Անվանում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FCA" w:rsidRPr="00760766" w:rsidRDefault="00432FCA" w:rsidP="005B3017">
            <w:pPr>
              <w:spacing w:after="0" w:line="240" w:lineRule="auto"/>
              <w:jc w:val="center"/>
              <w:rPr>
                <w:rFonts w:ascii="GHEA Grapalat" w:hAnsi="GHEA Grapalat" w:cs="Arial"/>
                <w:noProof/>
                <w:sz w:val="20"/>
                <w:szCs w:val="20"/>
                <w:lang w:val="hy-AM"/>
              </w:rPr>
            </w:pPr>
            <w:r w:rsidRPr="00760766">
              <w:rPr>
                <w:rFonts w:ascii="GHEA Grapalat" w:hAnsi="GHEA Grapalat" w:cs="Arial"/>
                <w:noProof/>
                <w:sz w:val="20"/>
                <w:szCs w:val="20"/>
                <w:lang w:val="hy-AM"/>
              </w:rPr>
              <w:t>Բնութագիր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FCA" w:rsidRPr="00760766" w:rsidRDefault="00432FCA" w:rsidP="005B3017">
            <w:pPr>
              <w:spacing w:after="0" w:line="240" w:lineRule="auto"/>
              <w:ind w:right="-108"/>
              <w:jc w:val="center"/>
              <w:rPr>
                <w:rFonts w:ascii="GHEA Grapalat" w:hAnsi="GHEA Grapalat" w:cs="Arial"/>
                <w:noProof/>
                <w:sz w:val="20"/>
                <w:szCs w:val="20"/>
                <w:lang w:val="hy-AM"/>
              </w:rPr>
            </w:pPr>
            <w:r w:rsidRPr="00760766">
              <w:rPr>
                <w:rFonts w:ascii="GHEA Grapalat" w:hAnsi="GHEA Grapalat" w:cs="Arial"/>
                <w:noProof/>
                <w:sz w:val="20"/>
                <w:szCs w:val="20"/>
                <w:lang w:val="hy-AM"/>
              </w:rPr>
              <w:t>Չափման միավոր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FCA" w:rsidRPr="00760766" w:rsidRDefault="00432FCA" w:rsidP="005B3017">
            <w:pPr>
              <w:spacing w:after="0" w:line="240" w:lineRule="auto"/>
              <w:jc w:val="center"/>
              <w:rPr>
                <w:rFonts w:ascii="GHEA Grapalat" w:hAnsi="GHEA Grapalat" w:cs="Arial"/>
                <w:noProof/>
                <w:sz w:val="20"/>
                <w:szCs w:val="20"/>
                <w:lang w:val="hy-AM"/>
              </w:rPr>
            </w:pPr>
            <w:r w:rsidRPr="00760766">
              <w:rPr>
                <w:rFonts w:ascii="GHEA Grapalat" w:hAnsi="GHEA Grapalat" w:cs="Arial"/>
                <w:noProof/>
                <w:sz w:val="20"/>
                <w:szCs w:val="20"/>
                <w:lang w:val="hy-AM"/>
              </w:rPr>
              <w:t>Ընդհանուր քանակը</w:t>
            </w:r>
          </w:p>
        </w:tc>
        <w:tc>
          <w:tcPr>
            <w:tcW w:w="3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FCA" w:rsidRPr="00760766" w:rsidRDefault="00432FCA" w:rsidP="005B3017">
            <w:pPr>
              <w:spacing w:after="0"/>
              <w:jc w:val="center"/>
              <w:rPr>
                <w:rFonts w:ascii="GHEA Grapalat" w:hAnsi="GHEA Grapalat" w:cs="Arial"/>
                <w:noProof/>
                <w:sz w:val="20"/>
                <w:szCs w:val="20"/>
                <w:lang w:val="hy-AM"/>
              </w:rPr>
            </w:pPr>
            <w:r w:rsidRPr="00760766">
              <w:rPr>
                <w:rFonts w:ascii="GHEA Grapalat" w:hAnsi="GHEA Grapalat" w:cs="Arial"/>
                <w:noProof/>
                <w:sz w:val="20"/>
                <w:szCs w:val="20"/>
                <w:lang w:val="hy-AM"/>
              </w:rPr>
              <w:t>Մատուցման ժամկետ</w:t>
            </w:r>
          </w:p>
        </w:tc>
      </w:tr>
      <w:tr w:rsidR="00432FCA" w:rsidRPr="00760766" w:rsidTr="00432FCA">
        <w:trPr>
          <w:trHeight w:val="62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32FCA" w:rsidRPr="00760766" w:rsidRDefault="00432FCA" w:rsidP="005B3017">
            <w:pPr>
              <w:spacing w:after="0"/>
              <w:jc w:val="center"/>
              <w:rPr>
                <w:rFonts w:ascii="GHEA Grapalat" w:hAnsi="GHEA Grapalat" w:cs="Arial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32FCA" w:rsidRPr="00760766" w:rsidRDefault="00432FCA" w:rsidP="005B3017">
            <w:pPr>
              <w:spacing w:after="0"/>
              <w:rPr>
                <w:rFonts w:ascii="GHEA Grapalat" w:hAnsi="GHEA Grapalat" w:cs="Arial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432FCA" w:rsidRPr="00760766" w:rsidRDefault="00432FCA" w:rsidP="005B3017">
            <w:pPr>
              <w:spacing w:after="0"/>
              <w:rPr>
                <w:rFonts w:ascii="GHEA Grapalat" w:hAnsi="GHEA Grapalat" w:cs="Arial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32FCA" w:rsidRPr="00760766" w:rsidRDefault="00432FCA" w:rsidP="005B3017">
            <w:pPr>
              <w:spacing w:after="0"/>
              <w:jc w:val="center"/>
              <w:rPr>
                <w:rFonts w:ascii="GHEA Grapalat" w:hAnsi="GHEA Grapalat" w:cs="Arial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32FCA" w:rsidRPr="00760766" w:rsidRDefault="00432FCA" w:rsidP="005B3017">
            <w:pPr>
              <w:spacing w:after="0"/>
              <w:jc w:val="center"/>
              <w:rPr>
                <w:rFonts w:ascii="GHEA Grapalat" w:hAnsi="GHEA Grapalat" w:cs="Arial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32FCA" w:rsidRPr="00760766" w:rsidRDefault="00432FCA" w:rsidP="005B3017">
            <w:pPr>
              <w:spacing w:after="0"/>
              <w:jc w:val="center"/>
              <w:rPr>
                <w:rFonts w:ascii="GHEA Grapalat" w:hAnsi="GHEA Grapalat" w:cs="Arial LatArm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  <w:vAlign w:val="center"/>
          </w:tcPr>
          <w:p w:rsidR="00432FCA" w:rsidRPr="00760766" w:rsidRDefault="00432FCA" w:rsidP="005B3017">
            <w:pPr>
              <w:spacing w:after="0"/>
              <w:jc w:val="center"/>
              <w:rPr>
                <w:rFonts w:ascii="GHEA Grapalat" w:hAnsi="GHEA Grapalat" w:cs="Arial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31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32FCA" w:rsidRPr="00760766" w:rsidRDefault="00432FCA" w:rsidP="005B3017">
            <w:pPr>
              <w:spacing w:after="0"/>
              <w:jc w:val="center"/>
              <w:rPr>
                <w:rFonts w:ascii="GHEA Grapalat" w:hAnsi="GHEA Grapalat" w:cs="Arial"/>
                <w:noProof/>
                <w:sz w:val="20"/>
                <w:szCs w:val="20"/>
                <w:lang w:val="hy-AM"/>
              </w:rPr>
            </w:pPr>
          </w:p>
        </w:tc>
      </w:tr>
      <w:tr w:rsidR="00432FCA" w:rsidRPr="0041596C" w:rsidTr="00432FCA">
        <w:trPr>
          <w:trHeight w:val="267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FCA" w:rsidRPr="00760766" w:rsidRDefault="00432FCA" w:rsidP="005B3017">
            <w:pPr>
              <w:spacing w:after="0"/>
              <w:jc w:val="center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 w:rsidRPr="00760766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2FCA" w:rsidRPr="00760766" w:rsidRDefault="00432FCA" w:rsidP="005B3017">
            <w:pPr>
              <w:jc w:val="center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  <w:t>CPV-72541300/503</w:t>
            </w:r>
          </w:p>
          <w:p w:rsidR="00432FCA" w:rsidRPr="00760766" w:rsidRDefault="00432FCA" w:rsidP="005B3017">
            <w:pPr>
              <w:jc w:val="center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432FCA" w:rsidRPr="00760766" w:rsidRDefault="00432FCA" w:rsidP="005B3017">
            <w:pPr>
              <w:spacing w:line="240" w:lineRule="auto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760766">
              <w:rPr>
                <w:rFonts w:ascii="GHEA Grapalat" w:hAnsi="GHEA Grapalat"/>
                <w:noProof/>
                <w:lang w:val="hy-AM"/>
              </w:rPr>
              <w:t>Ամպային ծառայություններ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432FCA" w:rsidRPr="00760766" w:rsidRDefault="00432FCA" w:rsidP="005B3017">
            <w:pPr>
              <w:spacing w:after="0" w:line="240" w:lineRule="auto"/>
              <w:jc w:val="center"/>
              <w:rPr>
                <w:rFonts w:ascii="GHEA Grapalat" w:hAnsi="GHEA Grapalat"/>
                <w:noProof/>
                <w:lang w:val="hy-AM"/>
              </w:rPr>
            </w:pPr>
            <w:r>
              <w:rPr>
                <w:rFonts w:ascii="GHEA Grapalat" w:hAnsi="GHEA Grapalat"/>
                <w:noProof/>
                <w:lang w:val="hy-AM"/>
              </w:rPr>
              <w:t>Տ</w:t>
            </w:r>
            <w:r w:rsidRPr="00760766">
              <w:rPr>
                <w:rFonts w:ascii="GHEA Grapalat" w:hAnsi="GHEA Grapalat"/>
                <w:noProof/>
                <w:lang w:val="hy-AM"/>
              </w:rPr>
              <w:t>եխնիկական բնութագիրը ներկայացված է ստորև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2FCA" w:rsidRPr="00760766" w:rsidRDefault="00432FCA" w:rsidP="005B3017">
            <w:pPr>
              <w:spacing w:line="240" w:lineRule="auto"/>
              <w:jc w:val="center"/>
              <w:rPr>
                <w:rFonts w:ascii="GHEA Grapalat" w:hAnsi="GHEA Grapalat"/>
                <w:noProof/>
                <w:lang w:val="hy-AM"/>
              </w:rPr>
            </w:pPr>
            <w:r>
              <w:rPr>
                <w:rFonts w:ascii="GHEA Grapalat" w:hAnsi="GHEA Grapalat"/>
                <w:noProof/>
                <w:lang w:val="hy-AM"/>
              </w:rPr>
              <w:t>Դրամ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2FCA" w:rsidRPr="00760766" w:rsidRDefault="00432FCA" w:rsidP="005B3017">
            <w:pPr>
              <w:spacing w:line="240" w:lineRule="auto"/>
              <w:jc w:val="center"/>
              <w:rPr>
                <w:rFonts w:ascii="GHEA Grapalat" w:hAnsi="GHEA Grapalat"/>
                <w:noProof/>
                <w:lang w:val="hy-AM"/>
              </w:rPr>
            </w:pPr>
            <w:r>
              <w:rPr>
                <w:rFonts w:ascii="GHEA Grapalat" w:hAnsi="GHEA Grapalat"/>
                <w:noProof/>
                <w:lang w:val="hy-AM"/>
              </w:rPr>
              <w:t>1</w:t>
            </w:r>
          </w:p>
        </w:tc>
        <w:tc>
          <w:tcPr>
            <w:tcW w:w="3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FCA" w:rsidRPr="00F06FA0" w:rsidRDefault="00432FCA" w:rsidP="005B3017">
            <w:pPr>
              <w:spacing w:after="0"/>
              <w:jc w:val="center"/>
              <w:rPr>
                <w:rFonts w:ascii="GHEA Grapalat" w:hAnsi="GHEA Grapalat" w:cs="Arial"/>
                <w:noProof/>
                <w:sz w:val="20"/>
                <w:szCs w:val="20"/>
                <w:lang w:val="hy-AM"/>
              </w:rPr>
            </w:pPr>
            <w:r w:rsidRPr="00F06FA0"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>Հ</w:t>
            </w:r>
            <w:r w:rsidRPr="00F06FA0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ամապատասխան</w:t>
            </w:r>
            <w:r w:rsidRPr="00F92C91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ֆինանսական միջոցներ նախատեսվելու դեպքում կողմերի միջև կնքվող համաձայնագիրն ուժի մեջ մտնելու օրվանից</w:t>
            </w:r>
            <w:r w:rsidRPr="00F92C91">
              <w:rPr>
                <w:b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F92C91"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>36</w:t>
            </w: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ամիս</w:t>
            </w:r>
            <w:r w:rsidRPr="00F92C91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` համաձայն տեխնիկական բնութագրի։</w:t>
            </w:r>
          </w:p>
        </w:tc>
      </w:tr>
      <w:tr w:rsidR="00432FCA" w:rsidRPr="0041596C" w:rsidTr="00432FCA">
        <w:trPr>
          <w:trHeight w:val="71"/>
        </w:trPr>
        <w:tc>
          <w:tcPr>
            <w:tcW w:w="148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32FCA" w:rsidRPr="00760766" w:rsidRDefault="00432FCA" w:rsidP="005B3017">
            <w:pPr>
              <w:spacing w:after="0"/>
              <w:rPr>
                <w:rFonts w:ascii="GHEA Grapalat" w:hAnsi="GHEA Grapalat"/>
                <w:b/>
                <w:noProof/>
                <w:lang w:val="hy-AM"/>
              </w:rPr>
            </w:pPr>
            <w:r w:rsidRPr="00760766">
              <w:rPr>
                <w:rFonts w:ascii="GHEA Grapalat" w:hAnsi="GHEA Grapalat"/>
                <w:b/>
                <w:noProof/>
                <w:lang w:val="hy-AM"/>
              </w:rPr>
              <w:t>Կատարման հասցե՝ ք. Երևան, Վ. Սարգսյան 3/8 հասցեում:</w:t>
            </w:r>
          </w:p>
        </w:tc>
      </w:tr>
    </w:tbl>
    <w:p w:rsidR="004C5FB0" w:rsidRDefault="004C5FB0">
      <w:pPr>
        <w:rPr>
          <w:lang w:val="hy-AM"/>
        </w:rPr>
      </w:pPr>
    </w:p>
    <w:p w:rsidR="00432FCA" w:rsidRDefault="00432FCA" w:rsidP="00432FCA">
      <w:pPr>
        <w:jc w:val="center"/>
        <w:rPr>
          <w:rFonts w:ascii="GHEA Grapalat" w:hAnsi="GHEA Grapalat"/>
          <w:b/>
          <w:noProof/>
          <w:lang w:val="hy-AM"/>
        </w:rPr>
      </w:pPr>
      <w:r w:rsidRPr="00923DF7">
        <w:rPr>
          <w:rFonts w:ascii="GHEA Grapalat" w:hAnsi="GHEA Grapalat"/>
          <w:b/>
          <w:noProof/>
          <w:lang w:val="hy-AM"/>
        </w:rPr>
        <w:t>ՏԵԽՆԻԿԱԿԱՆ ԲՆՈՒԹԱԳԻՐ</w:t>
      </w:r>
    </w:p>
    <w:p w:rsidR="0041596C" w:rsidRDefault="0041596C" w:rsidP="00432FCA">
      <w:pPr>
        <w:jc w:val="center"/>
        <w:rPr>
          <w:rFonts w:ascii="GHEA Grapalat" w:hAnsi="GHEA Grapalat"/>
          <w:b/>
          <w:noProof/>
          <w:lang w:val="hy-AM"/>
        </w:rPr>
      </w:pPr>
    </w:p>
    <w:p w:rsidR="0041596C" w:rsidRDefault="0041596C" w:rsidP="0041596C">
      <w:pPr>
        <w:ind w:firstLine="720"/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  <w:r w:rsidRPr="001A22A4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Սույն Տեխնիկական առաջադրանքը սահմանում է ՀՀ արդարադատության նախարարության կողմից ամպային ենթակառուցվածքի ձեռքբերման շրջանակը, նպատակները և տեխնիկական պահանջները՝ ուղղված նախարարության տեղեկատվական համակարգերի հուսալի, անվտանգ և անխափան շահագործմանը։ Փաստաթուղթը նախատեսում է պահանջներ հաշվողական և ցանցային ռեսուրսների, տվյալների պահպանման ու պահուստավորման, տեղեկատվական անվտանգության, սպասարկման մակարդակի համաձայնագրերի (SLA), ինչպես նաև մատակարարի կազմակերպչական և մասնագիտական կարողությունների նկատմամբ՝ ապահովելու պետական տեղեկատվական ռեսուրսների պաշտպանվածությունը և համապատասխանությունը ՀՀ օրենսդրությանը։</w:t>
      </w:r>
    </w:p>
    <w:p w:rsidR="0041596C" w:rsidRPr="0041596C" w:rsidRDefault="0041596C" w:rsidP="0041596C">
      <w:pPr>
        <w:ind w:firstLine="708"/>
        <w:rPr>
          <w:rFonts w:ascii="GHEA Grapalat" w:hAnsi="GHEA Grapalat" w:cs="Tahoma"/>
          <w:noProof/>
          <w:color w:val="FF0000"/>
          <w:sz w:val="20"/>
          <w:szCs w:val="20"/>
          <w:shd w:val="clear" w:color="auto" w:fill="FFFFFF"/>
          <w:lang w:val="hy-AM"/>
        </w:rPr>
      </w:pPr>
      <w:r w:rsidRPr="0041596C">
        <w:rPr>
          <w:rFonts w:ascii="GHEA Grapalat" w:hAnsi="GHEA Grapalat" w:cs="Tahoma"/>
          <w:noProof/>
          <w:color w:val="FF0000"/>
          <w:sz w:val="20"/>
          <w:szCs w:val="20"/>
          <w:shd w:val="clear" w:color="auto" w:fill="FFFFFF"/>
          <w:lang w:val="hy-AM"/>
        </w:rPr>
        <w:t>Մասնակիցը, իսկ մասնակիցների համատեղ գործունեության (կոնսորցիումի) դեպքում՝ կոնսորցիումի բոլոր անդամները, պետք է ունենան ISO/IEC 27001 կամ միջազգային ճանաչում ունեցող համարժեք գործող հավաստագիր, կամ վերջին երեք (3) տարիների ընթացքում տրված աուդիտորական զեկույց, որը հաստատում է համապատասխան կառավարման համակարգի ներդրումն ու արդյունավետ կիրառումը:</w:t>
      </w:r>
    </w:p>
    <w:p w:rsidR="0041596C" w:rsidRPr="0041596C" w:rsidRDefault="0041596C" w:rsidP="0041596C">
      <w:pPr>
        <w:ind w:firstLine="708"/>
        <w:jc w:val="both"/>
        <w:rPr>
          <w:rFonts w:ascii="GHEA Grapalat" w:hAnsi="GHEA Grapalat" w:cs="Tahoma"/>
          <w:noProof/>
          <w:color w:val="FF0000"/>
          <w:sz w:val="20"/>
          <w:szCs w:val="20"/>
          <w:shd w:val="clear" w:color="auto" w:fill="FFFFFF"/>
          <w:lang w:val="hy-AM"/>
        </w:rPr>
      </w:pPr>
      <w:r w:rsidRPr="0041596C">
        <w:rPr>
          <w:rFonts w:ascii="GHEA Grapalat" w:hAnsi="GHEA Grapalat" w:cs="Tahoma"/>
          <w:noProof/>
          <w:color w:val="FF0000"/>
          <w:sz w:val="20"/>
          <w:szCs w:val="20"/>
          <w:shd w:val="clear" w:color="auto" w:fill="FFFFFF"/>
          <w:lang w:val="hy-AM"/>
        </w:rPr>
        <w:lastRenderedPageBreak/>
        <w:t>Մասնակիցը, իսկ մասնակիցների համատեղ գործունեության (կո</w:t>
      </w:r>
      <w:bookmarkStart w:id="0" w:name="_GoBack"/>
      <w:bookmarkEnd w:id="0"/>
      <w:r w:rsidRPr="0041596C">
        <w:rPr>
          <w:rFonts w:ascii="GHEA Grapalat" w:hAnsi="GHEA Grapalat" w:cs="Tahoma"/>
          <w:noProof/>
          <w:color w:val="FF0000"/>
          <w:sz w:val="20"/>
          <w:szCs w:val="20"/>
          <w:shd w:val="clear" w:color="auto" w:fill="FFFFFF"/>
          <w:lang w:val="hy-AM"/>
        </w:rPr>
        <w:t>նսորցիումի) դեպքում՝ համապատասխան ծառայություն մատուցող կոնսորցիումի անդամը, պետք է ունենա «Լիցենզավորման մասին» ՀՀ օրենքով սահմանված «Հանրային էլեկտրոնային հաղորդակցության ցանցի» գործող լիցենզիա կամ պայմանագիր՝ նշված լիցենզիան ունեցող օպերատորի հետ։</w:t>
      </w:r>
    </w:p>
    <w:p w:rsidR="0041596C" w:rsidRPr="00001D71" w:rsidRDefault="0041596C" w:rsidP="0041596C">
      <w:pPr>
        <w:ind w:firstLine="708"/>
        <w:jc w:val="both"/>
        <w:rPr>
          <w:rFonts w:ascii="GHEA Grapalat" w:hAnsi="GHEA Grapalat" w:cs="Tahoma"/>
          <w:b/>
          <w:bCs/>
          <w:noProof/>
          <w:sz w:val="20"/>
          <w:szCs w:val="20"/>
          <w:u w:val="single"/>
          <w:shd w:val="clear" w:color="auto" w:fill="FFFFFF"/>
          <w:lang w:val="hy-AM"/>
        </w:rPr>
      </w:pPr>
      <w:r w:rsidRPr="00001D71">
        <w:rPr>
          <w:rFonts w:ascii="GHEA Grapalat" w:hAnsi="GHEA Grapalat" w:cs="Tahoma"/>
          <w:b/>
          <w:bCs/>
          <w:noProof/>
          <w:sz w:val="20"/>
          <w:szCs w:val="20"/>
          <w:u w:val="single"/>
          <w:shd w:val="clear" w:color="auto" w:fill="FFFFFF"/>
          <w:lang w:val="hy-AM"/>
        </w:rPr>
        <w:t>Հաղթող կճանաչվի այն մասնակիցը, որի կողմից առաջարկված առավելագույն ընդհանուր ամսական արժեքը (</w:t>
      </w:r>
      <w:r>
        <w:rPr>
          <w:rFonts w:ascii="GHEA Grapalat" w:hAnsi="GHEA Grapalat" w:cs="Tahoma"/>
          <w:b/>
          <w:bCs/>
          <w:noProof/>
          <w:sz w:val="20"/>
          <w:szCs w:val="20"/>
          <w:u w:val="single"/>
          <w:shd w:val="clear" w:color="auto" w:fill="FFFFFF"/>
          <w:lang w:val="hy-AM"/>
        </w:rPr>
        <w:t>Հավելված 1.1</w:t>
      </w:r>
      <w:r w:rsidRPr="00001D71">
        <w:rPr>
          <w:rFonts w:ascii="GHEA Grapalat" w:hAnsi="GHEA Grapalat" w:cs="Tahoma"/>
          <w:b/>
          <w:bCs/>
          <w:noProof/>
          <w:sz w:val="20"/>
          <w:szCs w:val="20"/>
          <w:u w:val="single"/>
          <w:shd w:val="clear" w:color="auto" w:fill="FFFFFF"/>
          <w:lang w:val="hy-AM"/>
        </w:rPr>
        <w:t xml:space="preserve">) </w:t>
      </w:r>
      <w:r>
        <w:rPr>
          <w:rFonts w:ascii="GHEA Grapalat" w:hAnsi="GHEA Grapalat" w:cs="Tahoma"/>
          <w:b/>
          <w:bCs/>
          <w:noProof/>
          <w:sz w:val="20"/>
          <w:szCs w:val="20"/>
          <w:u w:val="single"/>
          <w:shd w:val="clear" w:color="auto" w:fill="FFFFFF"/>
          <w:lang w:val="hy-AM"/>
        </w:rPr>
        <w:t>կլինի</w:t>
      </w:r>
      <w:r w:rsidRPr="00001D71">
        <w:rPr>
          <w:rFonts w:ascii="GHEA Grapalat" w:hAnsi="GHEA Grapalat" w:cs="Tahoma"/>
          <w:b/>
          <w:bCs/>
          <w:noProof/>
          <w:sz w:val="20"/>
          <w:szCs w:val="20"/>
          <w:u w:val="single"/>
          <w:shd w:val="clear" w:color="auto" w:fill="FFFFFF"/>
          <w:lang w:val="hy-AM"/>
        </w:rPr>
        <w:t xml:space="preserve"> նվազագույնը։</w:t>
      </w:r>
    </w:p>
    <w:p w:rsidR="0041596C" w:rsidRPr="001A22A4" w:rsidRDefault="0041596C" w:rsidP="0041596C">
      <w:pPr>
        <w:rPr>
          <w:rFonts w:ascii="GHEA Grapalat" w:hAnsi="GHEA Grapalat" w:cs="Tahoma"/>
          <w:b/>
          <w:bCs/>
          <w:noProof/>
          <w:shd w:val="clear" w:color="auto" w:fill="FFFFFF"/>
          <w:lang w:val="hy-AM"/>
        </w:rPr>
      </w:pPr>
      <w:r w:rsidRPr="001A22A4">
        <w:rPr>
          <w:rFonts w:ascii="GHEA Grapalat" w:hAnsi="GHEA Grapalat" w:cs="Tahoma"/>
          <w:b/>
          <w:bCs/>
          <w:noProof/>
          <w:shd w:val="clear" w:color="auto" w:fill="FFFFFF"/>
          <w:lang w:val="hy-AM"/>
        </w:rPr>
        <w:t>Հաշվողական ռեսուրսներ</w:t>
      </w:r>
    </w:p>
    <w:tbl>
      <w:tblPr>
        <w:tblW w:w="15055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802"/>
        <w:gridCol w:w="8425"/>
        <w:gridCol w:w="1560"/>
        <w:gridCol w:w="2268"/>
      </w:tblGrid>
      <w:tr w:rsidR="0041596C" w:rsidRPr="00A01B80" w:rsidTr="00B70ED9">
        <w:trPr>
          <w:trHeight w:val="293"/>
        </w:trPr>
        <w:tc>
          <w:tcPr>
            <w:tcW w:w="2802" w:type="dxa"/>
            <w:vAlign w:val="center"/>
          </w:tcPr>
          <w:p w:rsidR="0041596C" w:rsidRPr="00A01B80" w:rsidRDefault="0041596C" w:rsidP="00B70ED9">
            <w:pPr>
              <w:spacing w:after="0" w:line="240" w:lineRule="auto"/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>Անվանում</w:t>
            </w:r>
          </w:p>
        </w:tc>
        <w:tc>
          <w:tcPr>
            <w:tcW w:w="8425" w:type="dxa"/>
            <w:vAlign w:val="center"/>
          </w:tcPr>
          <w:p w:rsidR="0041596C" w:rsidRPr="00A01B80" w:rsidRDefault="0041596C" w:rsidP="00B70ED9">
            <w:pPr>
              <w:spacing w:after="0" w:line="240" w:lineRule="auto"/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>Նկարագրություն</w:t>
            </w:r>
          </w:p>
        </w:tc>
        <w:tc>
          <w:tcPr>
            <w:tcW w:w="1560" w:type="dxa"/>
            <w:vAlign w:val="center"/>
          </w:tcPr>
          <w:p w:rsidR="0041596C" w:rsidRPr="00A01B80" w:rsidRDefault="0041596C" w:rsidP="00B70ED9">
            <w:pPr>
              <w:spacing w:after="0" w:line="240" w:lineRule="auto"/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>Չափմ</w:t>
            </w:r>
            <w:r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>ան մ</w:t>
            </w:r>
            <w:r w:rsidRPr="00A01B80"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>իավ</w:t>
            </w:r>
            <w:r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>որ</w:t>
            </w:r>
          </w:p>
        </w:tc>
        <w:tc>
          <w:tcPr>
            <w:tcW w:w="2268" w:type="dxa"/>
            <w:vAlign w:val="center"/>
          </w:tcPr>
          <w:p w:rsidR="0041596C" w:rsidRPr="00A01B80" w:rsidRDefault="0041596C" w:rsidP="00B70ED9">
            <w:pPr>
              <w:spacing w:after="0" w:line="240" w:lineRule="auto"/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>Առավելագույն ք</w:t>
            </w:r>
            <w:r w:rsidRPr="00A01B80"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>անակ/ծավալ</w:t>
            </w:r>
          </w:p>
        </w:tc>
      </w:tr>
      <w:tr w:rsidR="0041596C" w:rsidRPr="00A01B80" w:rsidTr="00B70ED9">
        <w:tc>
          <w:tcPr>
            <w:tcW w:w="2802" w:type="dxa"/>
          </w:tcPr>
          <w:p w:rsidR="0041596C" w:rsidRPr="00A01B80" w:rsidRDefault="0041596C" w:rsidP="00B70ED9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Վիրտուալ պրոցեսոր (vCPU)</w:t>
            </w:r>
          </w:p>
        </w:tc>
        <w:tc>
          <w:tcPr>
            <w:tcW w:w="8425" w:type="dxa"/>
          </w:tcPr>
          <w:p w:rsidR="0041596C" w:rsidRPr="00A01B80" w:rsidRDefault="0041596C" w:rsidP="00B70ED9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Վիրտուալ պրոցեսոր՝ առնվազն 2.5 գիգահերց արտադրողականությամբ</w:t>
            </w:r>
          </w:p>
        </w:tc>
        <w:tc>
          <w:tcPr>
            <w:tcW w:w="1560" w:type="dxa"/>
          </w:tcPr>
          <w:p w:rsidR="0041596C" w:rsidRPr="00A01B80" w:rsidRDefault="0041596C" w:rsidP="00B70ED9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2268" w:type="dxa"/>
          </w:tcPr>
          <w:p w:rsidR="0041596C" w:rsidRPr="00A01B80" w:rsidRDefault="0041596C" w:rsidP="00B70ED9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</w:rPr>
              <w:t>800</w:t>
            </w:r>
          </w:p>
        </w:tc>
      </w:tr>
      <w:tr w:rsidR="0041596C" w:rsidRPr="00A01B80" w:rsidTr="00B70ED9">
        <w:tc>
          <w:tcPr>
            <w:tcW w:w="2802" w:type="dxa"/>
          </w:tcPr>
          <w:p w:rsidR="0041596C" w:rsidRPr="00A01B80" w:rsidRDefault="0041596C" w:rsidP="00B70ED9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Օպերատիվ հիշողություն (RAM)</w:t>
            </w:r>
          </w:p>
        </w:tc>
        <w:tc>
          <w:tcPr>
            <w:tcW w:w="8425" w:type="dxa"/>
          </w:tcPr>
          <w:p w:rsidR="0041596C" w:rsidRPr="00A01B80" w:rsidRDefault="0041596C" w:rsidP="00B70ED9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Օպերատիվ հիշողություն, որը  համապատասխանում է ժամանակակից սերվերների ստանդարտներին (DDR4 3200 MHz և ավել)</w:t>
            </w:r>
          </w:p>
        </w:tc>
        <w:tc>
          <w:tcPr>
            <w:tcW w:w="1560" w:type="dxa"/>
          </w:tcPr>
          <w:p w:rsidR="0041596C" w:rsidRPr="00A01B80" w:rsidRDefault="0041596C" w:rsidP="00B70ED9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Գիգաբայթ (Gb)</w:t>
            </w:r>
          </w:p>
        </w:tc>
        <w:tc>
          <w:tcPr>
            <w:tcW w:w="2268" w:type="dxa"/>
          </w:tcPr>
          <w:p w:rsidR="0041596C" w:rsidRPr="00A01B80" w:rsidRDefault="0041596C" w:rsidP="00B70ED9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1,</w:t>
            </w: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</w:rPr>
              <w:t>60</w:t>
            </w: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0</w:t>
            </w:r>
          </w:p>
        </w:tc>
      </w:tr>
      <w:tr w:rsidR="0041596C" w:rsidRPr="00A01B80" w:rsidTr="00B70ED9">
        <w:tc>
          <w:tcPr>
            <w:tcW w:w="2802" w:type="dxa"/>
          </w:tcPr>
          <w:p w:rsidR="0041596C" w:rsidRPr="00A01B80" w:rsidRDefault="0041596C" w:rsidP="00B70ED9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Հիմնական հիշողություն</w:t>
            </w:r>
          </w:p>
        </w:tc>
        <w:tc>
          <w:tcPr>
            <w:tcW w:w="8425" w:type="dxa"/>
          </w:tcPr>
          <w:p w:rsidR="0041596C" w:rsidRPr="00A01B80" w:rsidRDefault="0041596C" w:rsidP="00B70ED9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Աշխատանքային տվյալների պահոց/ծավալ՝ </w:t>
            </w:r>
          </w:p>
          <w:p w:rsidR="0041596C" w:rsidRPr="00A01B80" w:rsidRDefault="0041596C" w:rsidP="00B70ED9">
            <w:pPr>
              <w:tabs>
                <w:tab w:val="left" w:pos="6022"/>
              </w:tabs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Արտադրողականություն (յուրաքանչյուր VM-ի համար) ≥ 500 ՄԲ/վրկ</w:t>
            </w: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ab/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Throughput (per VM) ≥ 500 MB/s</w:t>
            </w:r>
          </w:p>
          <w:p w:rsidR="0041596C" w:rsidRPr="00A01B80" w:rsidRDefault="0041596C" w:rsidP="00B70ED9">
            <w:pPr>
              <w:tabs>
                <w:tab w:val="left" w:pos="6022"/>
              </w:tabs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Կայուն IOPS (յուրաքանչյուր VM-ի համար) ≥ 20,000 IOPS</w:t>
            </w: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ab/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Sustained IOPS (per VM) ≥ 20,000 IOPS</w:t>
            </w:r>
          </w:p>
          <w:p w:rsidR="0041596C" w:rsidRPr="00A01B80" w:rsidRDefault="0041596C" w:rsidP="00B70ED9">
            <w:pPr>
              <w:tabs>
                <w:tab w:val="left" w:pos="6022"/>
              </w:tabs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Կարդալու ուշացում (95-րդ տոկոսային կետ) ≤ 0.5 մվ</w:t>
            </w: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ab/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Read latency (95th percentile) ≤ 0.5 ms</w:t>
            </w:r>
          </w:p>
          <w:p w:rsidR="0041596C" w:rsidRPr="00A01B80" w:rsidRDefault="0041596C" w:rsidP="00B70ED9">
            <w:pPr>
              <w:tabs>
                <w:tab w:val="left" w:pos="6022"/>
              </w:tabs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Գրելու ուշացում (95-րդ տոկոսային կետ) ≤ 1 մվ</w:t>
            </w: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ab/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Write latency (95th percentile) ≤ 1 ms</w:t>
            </w:r>
          </w:p>
          <w:p w:rsidR="0041596C" w:rsidRPr="00A01B80" w:rsidRDefault="0041596C" w:rsidP="00B70ED9">
            <w:pPr>
              <w:tabs>
                <w:tab w:val="left" w:pos="6022"/>
              </w:tabs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Վարձակալի տվյալների մեկուսացում (տրամաբանական կամ ֆիզիկական) </w:t>
            </w: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ab/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Tenant data isolation (Logical or Physical)</w:t>
            </w:r>
          </w:p>
          <w:p w:rsidR="0041596C" w:rsidRPr="00A01B80" w:rsidRDefault="0041596C" w:rsidP="00B70ED9">
            <w:pPr>
              <w:tabs>
                <w:tab w:val="left" w:pos="6022"/>
              </w:tabs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Սպասարկման համար դադարների կամ արտադրողականության վրա</w:t>
            </w: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ab/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No downtime or performance impact for</w:t>
            </w: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ազդեցության բացակայություն</w:t>
            </w: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ab/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storage maintenance</w:t>
            </w:r>
          </w:p>
        </w:tc>
        <w:tc>
          <w:tcPr>
            <w:tcW w:w="1560" w:type="dxa"/>
          </w:tcPr>
          <w:p w:rsidR="0041596C" w:rsidRPr="00A01B80" w:rsidRDefault="0041596C" w:rsidP="00B70ED9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Գիգաբայթ (Gb)</w:t>
            </w:r>
          </w:p>
        </w:tc>
        <w:tc>
          <w:tcPr>
            <w:tcW w:w="2268" w:type="dxa"/>
          </w:tcPr>
          <w:p w:rsidR="0041596C" w:rsidRPr="00A01B80" w:rsidRDefault="0041596C" w:rsidP="00B70ED9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</w:rPr>
              <w:t>100</w:t>
            </w: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,000</w:t>
            </w:r>
          </w:p>
        </w:tc>
      </w:tr>
      <w:tr w:rsidR="0041596C" w:rsidRPr="00A01B80" w:rsidTr="00B70ED9">
        <w:tc>
          <w:tcPr>
            <w:tcW w:w="2802" w:type="dxa"/>
          </w:tcPr>
          <w:p w:rsidR="0041596C" w:rsidRPr="00A01B80" w:rsidRDefault="0041596C" w:rsidP="00B70ED9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Պահուստային հիշողություն</w:t>
            </w:r>
          </w:p>
        </w:tc>
        <w:tc>
          <w:tcPr>
            <w:tcW w:w="8425" w:type="dxa"/>
          </w:tcPr>
          <w:p w:rsidR="0041596C" w:rsidRPr="00A01B80" w:rsidRDefault="0041596C" w:rsidP="00B70ED9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Պահուստային տվյալների պահոց/ծավալ՝ </w:t>
            </w:r>
          </w:p>
          <w:p w:rsidR="0041596C" w:rsidRPr="00A01B80" w:rsidRDefault="0041596C" w:rsidP="00B70ED9">
            <w:pPr>
              <w:tabs>
                <w:tab w:val="left" w:pos="6022"/>
              </w:tabs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Թողունակություն (յուր. պահուստային աշխատանքի համար) ≥ 200 ՄԲ/վրկ</w:t>
            </w: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ab/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Throughput (per backup job) ≥ 200 MB/s</w:t>
            </w:r>
          </w:p>
          <w:p w:rsidR="0041596C" w:rsidRPr="00A01B80" w:rsidRDefault="0041596C" w:rsidP="00B70ED9">
            <w:pPr>
              <w:tabs>
                <w:tab w:val="left" w:pos="6022"/>
              </w:tabs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Կայուն IOPS (յուրաքանչյուր աշխատանքի համար) ≥ 5,000 IOPS</w:t>
            </w: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ab/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Sustained IOPS (per job) ≥ 5,000 IOPS</w:t>
            </w:r>
          </w:p>
          <w:p w:rsidR="0041596C" w:rsidRPr="00A01B80" w:rsidRDefault="0041596C" w:rsidP="00B70ED9">
            <w:pPr>
              <w:tabs>
                <w:tab w:val="left" w:pos="6022"/>
              </w:tabs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Վերականգնման ընթերցման լատենտություն (95-րդ տոկոսային) ≤ 5 մվ</w:t>
            </w: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ab/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Restore read latency (95th percentile) ≤ 5 ms</w:t>
            </w:r>
          </w:p>
          <w:p w:rsidR="0041596C" w:rsidRPr="00A01B80" w:rsidRDefault="0041596C" w:rsidP="00B70ED9">
            <w:pPr>
              <w:tabs>
                <w:tab w:val="left" w:pos="6022"/>
              </w:tabs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Պահուստային գրառման լատենտություն (95-րդ տոկոսային) ≤ 10 մվ</w:t>
            </w: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ab/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Backup write latency (95th percentile) ≤ 10 ms</w:t>
            </w:r>
          </w:p>
          <w:p w:rsidR="0041596C" w:rsidRPr="00A01B80" w:rsidRDefault="0041596C" w:rsidP="00B70ED9">
            <w:pPr>
              <w:tabs>
                <w:tab w:val="left" w:pos="6022"/>
              </w:tabs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Միաժամանակյա պահուստային աշխատանքներ մեկ վարձակալի համար ≥ 10</w:t>
            </w: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ab/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Concurrent backup jobs per tenant ≥ 10</w:t>
            </w:r>
          </w:p>
        </w:tc>
        <w:tc>
          <w:tcPr>
            <w:tcW w:w="1560" w:type="dxa"/>
          </w:tcPr>
          <w:p w:rsidR="0041596C" w:rsidRPr="00A01B80" w:rsidRDefault="0041596C" w:rsidP="00B70ED9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Գիգաբայթ (Gb)</w:t>
            </w:r>
          </w:p>
        </w:tc>
        <w:tc>
          <w:tcPr>
            <w:tcW w:w="2268" w:type="dxa"/>
          </w:tcPr>
          <w:p w:rsidR="0041596C" w:rsidRPr="00A01B80" w:rsidRDefault="0041596C" w:rsidP="00B70ED9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</w:rPr>
              <w:t>300</w:t>
            </w: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,000</w:t>
            </w:r>
          </w:p>
        </w:tc>
      </w:tr>
    </w:tbl>
    <w:p w:rsidR="0041596C" w:rsidRPr="001A22A4" w:rsidRDefault="0041596C" w:rsidP="0041596C">
      <w:pPr>
        <w:rPr>
          <w:rFonts w:ascii="GHEA Grapalat" w:hAnsi="GHEA Grapalat" w:cs="Tahoma"/>
          <w:b/>
          <w:bCs/>
          <w:noProof/>
          <w:shd w:val="clear" w:color="auto" w:fill="FFFFFF"/>
          <w:lang w:val="hy-AM"/>
        </w:rPr>
      </w:pPr>
    </w:p>
    <w:p w:rsidR="0041596C" w:rsidRPr="001A22A4" w:rsidRDefault="0041596C" w:rsidP="0041596C">
      <w:pPr>
        <w:rPr>
          <w:rFonts w:ascii="GHEA Grapalat" w:hAnsi="GHEA Grapalat" w:cs="Tahoma"/>
          <w:b/>
          <w:bCs/>
          <w:noProof/>
          <w:shd w:val="clear" w:color="auto" w:fill="FFFFFF"/>
          <w:lang w:val="hy-AM"/>
        </w:rPr>
      </w:pPr>
      <w:r w:rsidRPr="001A22A4">
        <w:rPr>
          <w:rFonts w:ascii="GHEA Grapalat" w:hAnsi="GHEA Grapalat" w:cs="Tahoma"/>
          <w:b/>
          <w:bCs/>
          <w:noProof/>
          <w:shd w:val="clear" w:color="auto" w:fill="FFFFFF"/>
          <w:lang w:val="hy-AM"/>
        </w:rPr>
        <w:t>Համացանցի ծառայության նկատմամբ պահանջներ, տեխնիկական նկարագրություն</w:t>
      </w:r>
    </w:p>
    <w:tbl>
      <w:tblPr>
        <w:tblW w:w="4979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99"/>
        <w:gridCol w:w="4928"/>
        <w:gridCol w:w="2709"/>
        <w:gridCol w:w="4463"/>
      </w:tblGrid>
      <w:tr w:rsidR="0041596C" w:rsidRPr="00A01B80" w:rsidTr="00B70ED9">
        <w:trPr>
          <w:cantSplit/>
        </w:trPr>
        <w:tc>
          <w:tcPr>
            <w:tcW w:w="827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  <w:t>Կատեգորիա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b/>
                <w:bCs/>
                <w:noProof/>
                <w:color w:val="BFBFBF"/>
                <w:sz w:val="16"/>
                <w:szCs w:val="16"/>
                <w:lang w:val="hy-AM"/>
              </w:rPr>
              <w:t>Category</w:t>
            </w:r>
          </w:p>
        </w:tc>
        <w:tc>
          <w:tcPr>
            <w:tcW w:w="1699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  <w:t>Պահանջ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b/>
                <w:bCs/>
                <w:noProof/>
                <w:color w:val="BFBFBF"/>
                <w:sz w:val="16"/>
                <w:szCs w:val="16"/>
                <w:lang w:val="hy-AM"/>
              </w:rPr>
              <w:t>Requirement</w:t>
            </w:r>
          </w:p>
        </w:tc>
        <w:tc>
          <w:tcPr>
            <w:tcW w:w="934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  <w:t>Պարամետր/Չափանիշ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b/>
                <w:bCs/>
                <w:noProof/>
                <w:color w:val="BFBFBF"/>
                <w:sz w:val="16"/>
                <w:szCs w:val="16"/>
                <w:lang w:val="hy-AM"/>
              </w:rPr>
              <w:t>Parameter/Metric</w:t>
            </w:r>
          </w:p>
        </w:tc>
        <w:tc>
          <w:tcPr>
            <w:tcW w:w="1539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  <w:t>Նպատակ/Արժեք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b/>
                <w:bCs/>
                <w:noProof/>
                <w:color w:val="BFBFBF"/>
                <w:sz w:val="16"/>
                <w:szCs w:val="16"/>
                <w:lang w:val="hy-AM"/>
              </w:rPr>
              <w:t>Target /Value</w:t>
            </w:r>
          </w:p>
        </w:tc>
      </w:tr>
      <w:tr w:rsidR="0041596C" w:rsidRPr="00A01B80" w:rsidTr="00B70ED9">
        <w:trPr>
          <w:cantSplit/>
        </w:trPr>
        <w:tc>
          <w:tcPr>
            <w:tcW w:w="827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Ծառայության տեսակ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Service Type</w:t>
            </w:r>
          </w:p>
        </w:tc>
        <w:tc>
          <w:tcPr>
            <w:tcW w:w="1699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Համացանցի հասանելիության երաշխավորված արագություն (CIR)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CIR Internet access</w:t>
            </w:r>
          </w:p>
        </w:tc>
        <w:tc>
          <w:tcPr>
            <w:tcW w:w="934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Ծառայության տեսակ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Service type</w:t>
            </w:r>
          </w:p>
        </w:tc>
        <w:tc>
          <w:tcPr>
            <w:tcW w:w="1539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Գործարար/ձեռնարկատիրական CIR ինտերնետ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Business/enterprise CIR Internet</w:t>
            </w:r>
          </w:p>
        </w:tc>
      </w:tr>
      <w:tr w:rsidR="0041596C" w:rsidRPr="00A01B80" w:rsidTr="00B70ED9">
        <w:trPr>
          <w:cantSplit/>
        </w:trPr>
        <w:tc>
          <w:tcPr>
            <w:tcW w:w="827" w:type="pct"/>
            <w:vAlign w:val="center"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Ծառայության տեսակ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Service Type</w:t>
            </w:r>
          </w:p>
        </w:tc>
        <w:tc>
          <w:tcPr>
            <w:tcW w:w="1699" w:type="pct"/>
            <w:vAlign w:val="center"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Մատակարարման վայր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Delivery site</w:t>
            </w:r>
          </w:p>
        </w:tc>
        <w:tc>
          <w:tcPr>
            <w:tcW w:w="934" w:type="pct"/>
            <w:vAlign w:val="center"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Տեղադրման վայր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Installation location</w:t>
            </w:r>
          </w:p>
        </w:tc>
        <w:tc>
          <w:tcPr>
            <w:tcW w:w="1539" w:type="pct"/>
            <w:vAlign w:val="center"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CSP DC դարակ (փոխանակում/AD/NGFW)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CSP DC rack (Exchange/AD/NGFW)</w:t>
            </w:r>
          </w:p>
        </w:tc>
      </w:tr>
      <w:tr w:rsidR="0041596C" w:rsidRPr="00A01B80" w:rsidTr="00B70ED9">
        <w:trPr>
          <w:cantSplit/>
        </w:trPr>
        <w:tc>
          <w:tcPr>
            <w:tcW w:w="827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Թողունակություն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Bandwidth</w:t>
            </w:r>
          </w:p>
        </w:tc>
        <w:tc>
          <w:tcPr>
            <w:tcW w:w="1699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Պարտավորված սիմետրիկ թողունակություն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Committed symmetric bandwidth</w:t>
            </w:r>
          </w:p>
        </w:tc>
        <w:tc>
          <w:tcPr>
            <w:tcW w:w="934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CIR վերբեռնում/ներբեռնում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CIR Up/Down</w:t>
            </w:r>
          </w:p>
        </w:tc>
        <w:tc>
          <w:tcPr>
            <w:tcW w:w="1539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 </w:t>
            </w:r>
            <w:r w:rsidRPr="00033B83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5</w:t>
            </w: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00 Մբիթ/վ / </w:t>
            </w:r>
            <w:r w:rsidRPr="00033B83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5</w:t>
            </w: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00 Մբիթ/վ, լրիվ դուպլեքս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 xml:space="preserve"> </w:t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</w:rPr>
              <w:t>5</w:t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 xml:space="preserve">00 Mbit/s / </w:t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</w:rPr>
              <w:t>5</w:t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00 Mbit/s, full duplex</w:t>
            </w:r>
          </w:p>
        </w:tc>
      </w:tr>
      <w:tr w:rsidR="0041596C" w:rsidRPr="00A01B80" w:rsidTr="00B70ED9">
        <w:trPr>
          <w:cantSplit/>
        </w:trPr>
        <w:tc>
          <w:tcPr>
            <w:tcW w:w="827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Թողունակություն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Bandwidth</w:t>
            </w:r>
          </w:p>
        </w:tc>
        <w:tc>
          <w:tcPr>
            <w:tcW w:w="1699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Վճարիր ըստ օգտագործման մասշտաբայնության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Pay-as-you-go scalability</w:t>
            </w:r>
          </w:p>
        </w:tc>
        <w:tc>
          <w:tcPr>
            <w:tcW w:w="934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Թարմացում/իջեցում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Upgrade/downgrade</w:t>
            </w:r>
          </w:p>
        </w:tc>
        <w:tc>
          <w:tcPr>
            <w:tcW w:w="1539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Ըստ պահանջի աճ/նվազեցում 500/500-ից բարձր/ցածր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 xml:space="preserve">On-demand increase/decrease above/below </w:t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</w:rPr>
              <w:t>5</w:t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00/</w:t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</w:rPr>
              <w:t>5</w:t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00</w:t>
            </w:r>
          </w:p>
        </w:tc>
      </w:tr>
      <w:tr w:rsidR="0041596C" w:rsidRPr="00A01B80" w:rsidTr="00B70ED9">
        <w:trPr>
          <w:cantSplit/>
        </w:trPr>
        <w:tc>
          <w:tcPr>
            <w:tcW w:w="827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Թողունակություն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Bandwidth</w:t>
            </w:r>
          </w:p>
        </w:tc>
        <w:tc>
          <w:tcPr>
            <w:tcW w:w="1699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PAYG հաշվառման մեթոդ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PAYG billing method</w:t>
            </w:r>
          </w:p>
        </w:tc>
        <w:tc>
          <w:tcPr>
            <w:tcW w:w="934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Օգտագործման հաշվառում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Usage accounting</w:t>
            </w:r>
          </w:p>
        </w:tc>
        <w:tc>
          <w:tcPr>
            <w:tcW w:w="1539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Պարզ, աստիճանական PAYG (նախընտրելի է) կամ 95-րդ տոկոսային տոկոս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Simple tiered PAYG (preferred) or 95th percentile</w:t>
            </w:r>
          </w:p>
        </w:tc>
      </w:tr>
      <w:tr w:rsidR="0041596C" w:rsidRPr="00A01B80" w:rsidTr="00B70ED9">
        <w:trPr>
          <w:cantSplit/>
        </w:trPr>
        <w:tc>
          <w:tcPr>
            <w:tcW w:w="827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Թողունակություն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Bandwidth</w:t>
            </w:r>
          </w:p>
        </w:tc>
        <w:tc>
          <w:tcPr>
            <w:tcW w:w="1699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CIR-ից ցածր ձևավորում չի թույլատրվում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No shaping below CIR</w:t>
            </w:r>
          </w:p>
        </w:tc>
        <w:tc>
          <w:tcPr>
            <w:tcW w:w="934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Ձևավորում / հսկողություն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Shaping / policing</w:t>
            </w:r>
          </w:p>
        </w:tc>
        <w:tc>
          <w:tcPr>
            <w:tcW w:w="1539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CIR-ից ցածր ձևավորում/հսկողություն չի թույլատրվում (բացառությամբ համաձայնեցված DDoS մեղմացման)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No shaping/policing below CIR (except agreed DDoS mitigation)</w:t>
            </w:r>
          </w:p>
        </w:tc>
      </w:tr>
      <w:tr w:rsidR="0041596C" w:rsidRPr="0041596C" w:rsidTr="00B70ED9">
        <w:trPr>
          <w:cantSplit/>
        </w:trPr>
        <w:tc>
          <w:tcPr>
            <w:tcW w:w="827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Հասանելիություն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Availability</w:t>
            </w:r>
          </w:p>
        </w:tc>
        <w:tc>
          <w:tcPr>
            <w:tcW w:w="1699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Ծառայության հասանելիություն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Service availability</w:t>
            </w:r>
          </w:p>
        </w:tc>
        <w:tc>
          <w:tcPr>
            <w:tcW w:w="934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Հասանելիություն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Availability</w:t>
            </w:r>
          </w:p>
        </w:tc>
        <w:tc>
          <w:tcPr>
            <w:tcW w:w="1539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≥ 99.9% մեկ օրացուցային տարվա ընթացքում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≥ 99.9% per calendar year</w:t>
            </w:r>
          </w:p>
        </w:tc>
      </w:tr>
      <w:tr w:rsidR="0041596C" w:rsidRPr="0041596C" w:rsidTr="00B70ED9">
        <w:trPr>
          <w:cantSplit/>
        </w:trPr>
        <w:tc>
          <w:tcPr>
            <w:tcW w:w="827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Հասանելիություն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Availability</w:t>
            </w:r>
          </w:p>
        </w:tc>
        <w:tc>
          <w:tcPr>
            <w:tcW w:w="1699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Անջատման սահմանում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Outage definition</w:t>
            </w:r>
          </w:p>
        </w:tc>
        <w:tc>
          <w:tcPr>
            <w:tcW w:w="934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Կորստի շեմ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Loss threshold</w:t>
            </w:r>
          </w:p>
        </w:tc>
        <w:tc>
          <w:tcPr>
            <w:tcW w:w="1539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Փաթեթների կորուստ ≥ 50% &gt; 1 րոպեի համար = անջատում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Packet loss ≥ 50% for &gt; 1 minute = outage</w:t>
            </w:r>
          </w:p>
        </w:tc>
      </w:tr>
      <w:tr w:rsidR="0041596C" w:rsidRPr="00A01B80" w:rsidTr="00B70ED9">
        <w:trPr>
          <w:cantSplit/>
        </w:trPr>
        <w:tc>
          <w:tcPr>
            <w:tcW w:w="827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Սպասարկում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Maintenance</w:t>
            </w:r>
          </w:p>
        </w:tc>
        <w:tc>
          <w:tcPr>
            <w:tcW w:w="1699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Պլանավորված սպասարկման ծանուցում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Planned maintenance notice</w:t>
            </w:r>
          </w:p>
        </w:tc>
        <w:tc>
          <w:tcPr>
            <w:tcW w:w="934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Ծանուցման ժամկետ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Notice period</w:t>
            </w:r>
          </w:p>
        </w:tc>
        <w:tc>
          <w:tcPr>
            <w:tcW w:w="1539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≥ 5 աշխատանքային օր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≥ 5 working days</w:t>
            </w:r>
          </w:p>
        </w:tc>
      </w:tr>
      <w:tr w:rsidR="0041596C" w:rsidRPr="00A01B80" w:rsidTr="00B70ED9">
        <w:trPr>
          <w:cantSplit/>
        </w:trPr>
        <w:tc>
          <w:tcPr>
            <w:tcW w:w="827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Սպասարկում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Maintenance</w:t>
            </w:r>
          </w:p>
        </w:tc>
        <w:tc>
          <w:tcPr>
            <w:tcW w:w="1699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Սպասարկման պատուհանի ժամանակացույց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Maintenance window timing</w:t>
            </w:r>
          </w:p>
        </w:tc>
        <w:tc>
          <w:tcPr>
            <w:tcW w:w="934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Օրվա ժամ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Time of day</w:t>
            </w:r>
          </w:p>
        </w:tc>
        <w:tc>
          <w:tcPr>
            <w:tcW w:w="1539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Աշխատանքային ժամերից դուրս (տեղական 00:00–06:00)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Outside business hours (00:00–06:00 local)</w:t>
            </w:r>
          </w:p>
        </w:tc>
      </w:tr>
      <w:tr w:rsidR="0041596C" w:rsidRPr="00A01B80" w:rsidTr="00B70ED9">
        <w:trPr>
          <w:cantSplit/>
        </w:trPr>
        <w:tc>
          <w:tcPr>
            <w:tcW w:w="827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Սպասարկում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Maintenance</w:t>
            </w:r>
          </w:p>
        </w:tc>
        <w:tc>
          <w:tcPr>
            <w:tcW w:w="1699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Պլանավորված սպասարկման սահմանաչափ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Planned maintenance cap</w:t>
            </w:r>
          </w:p>
        </w:tc>
        <w:tc>
          <w:tcPr>
            <w:tcW w:w="934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Ընդհանուր ամսական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Total per month</w:t>
            </w:r>
          </w:p>
        </w:tc>
        <w:tc>
          <w:tcPr>
            <w:tcW w:w="1539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≤ 8 ժամ/ամիս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≤ 8 hours/month</w:t>
            </w:r>
          </w:p>
        </w:tc>
      </w:tr>
      <w:tr w:rsidR="0041596C" w:rsidRPr="00A01B80" w:rsidTr="00B70ED9">
        <w:trPr>
          <w:cantSplit/>
        </w:trPr>
        <w:tc>
          <w:tcPr>
            <w:tcW w:w="827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Արդյունավետություն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Performance</w:t>
            </w:r>
          </w:p>
        </w:tc>
        <w:tc>
          <w:tcPr>
            <w:tcW w:w="1699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Լատենտություն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Latency</w:t>
            </w:r>
          </w:p>
        </w:tc>
        <w:tc>
          <w:tcPr>
            <w:tcW w:w="934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RTT 95-րդ տոկոսային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RTT 95th percentile</w:t>
            </w:r>
          </w:p>
        </w:tc>
        <w:tc>
          <w:tcPr>
            <w:tcW w:w="1539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≤ 20 մվ դեպի ISP upstream/peering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≤ 20 ms to ISP upstream/peering</w:t>
            </w:r>
          </w:p>
        </w:tc>
      </w:tr>
      <w:tr w:rsidR="0041596C" w:rsidRPr="00A01B80" w:rsidTr="00B70ED9">
        <w:trPr>
          <w:cantSplit/>
        </w:trPr>
        <w:tc>
          <w:tcPr>
            <w:tcW w:w="827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Արդյունավետություն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Performance</w:t>
            </w:r>
          </w:p>
        </w:tc>
        <w:tc>
          <w:tcPr>
            <w:tcW w:w="1699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Ջիթեր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Jitter</w:t>
            </w:r>
          </w:p>
        </w:tc>
        <w:tc>
          <w:tcPr>
            <w:tcW w:w="934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95-րդ տոկոս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95th percentile</w:t>
            </w:r>
          </w:p>
        </w:tc>
        <w:tc>
          <w:tcPr>
            <w:tcW w:w="1539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≤ 10 մվ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≤ 10 ms</w:t>
            </w:r>
          </w:p>
        </w:tc>
      </w:tr>
      <w:tr w:rsidR="0041596C" w:rsidRPr="0041596C" w:rsidTr="00B70ED9">
        <w:trPr>
          <w:cantSplit/>
        </w:trPr>
        <w:tc>
          <w:tcPr>
            <w:tcW w:w="827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Արդյունավետություն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Performance</w:t>
            </w:r>
          </w:p>
        </w:tc>
        <w:tc>
          <w:tcPr>
            <w:tcW w:w="1699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Փաթեթների կորուստ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Packet loss</w:t>
            </w:r>
          </w:p>
        </w:tc>
        <w:tc>
          <w:tcPr>
            <w:tcW w:w="934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Ամսական միջին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Monthly average</w:t>
            </w:r>
          </w:p>
        </w:tc>
        <w:tc>
          <w:tcPr>
            <w:tcW w:w="1539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≤ 0.1% (բացառությամբ անջատումների և սպասարկման)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≤ 0.1% (excluding outages &amp; maintenance)</w:t>
            </w:r>
          </w:p>
        </w:tc>
      </w:tr>
      <w:tr w:rsidR="0041596C" w:rsidRPr="00A01B80" w:rsidTr="00B70ED9">
        <w:trPr>
          <w:cantSplit/>
        </w:trPr>
        <w:tc>
          <w:tcPr>
            <w:tcW w:w="827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lastRenderedPageBreak/>
              <w:t>Թողունակություն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Throughput</w:t>
            </w:r>
          </w:p>
        </w:tc>
        <w:tc>
          <w:tcPr>
            <w:tcW w:w="1699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Օգտագործելի IP թողունակություն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Usable IP throughput</w:t>
            </w:r>
          </w:p>
        </w:tc>
        <w:tc>
          <w:tcPr>
            <w:tcW w:w="934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Լավ թողունակություն ընդդեմ CIR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Goodput vs CIR</w:t>
            </w:r>
          </w:p>
        </w:tc>
        <w:tc>
          <w:tcPr>
            <w:tcW w:w="1539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CIR-ի ≥ 90%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≥ 90% of CIR</w:t>
            </w:r>
          </w:p>
        </w:tc>
      </w:tr>
      <w:tr w:rsidR="0041596C" w:rsidRPr="00A01B80" w:rsidTr="00B70ED9">
        <w:trPr>
          <w:cantSplit/>
        </w:trPr>
        <w:tc>
          <w:tcPr>
            <w:tcW w:w="827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Ուղղորդում/IP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Routing/IP</w:t>
            </w:r>
          </w:p>
        </w:tc>
        <w:tc>
          <w:tcPr>
            <w:tcW w:w="1699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Հանրային IP հասցեավորում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Public IP addressing</w:t>
            </w:r>
          </w:p>
        </w:tc>
        <w:tc>
          <w:tcPr>
            <w:tcW w:w="934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Ստատիկ IPv4 բաշխում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Static IPv4 allocation</w:t>
            </w:r>
          </w:p>
        </w:tc>
        <w:tc>
          <w:tcPr>
            <w:tcW w:w="1539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/2</w:t>
            </w:r>
            <w:r w:rsidRPr="00033B83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6</w:t>
            </w: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 հանրային IPv4 ենթացանց (</w:t>
            </w:r>
            <w:r w:rsidRPr="00033B83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62</w:t>
            </w: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 օգտագործելի IP հասցեներ)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/2</w:t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</w:rPr>
              <w:t>6</w:t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 xml:space="preserve"> public IPv4 subnet (</w:t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</w:rPr>
              <w:t>62</w:t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 xml:space="preserve"> usable IPs)</w:t>
            </w:r>
          </w:p>
        </w:tc>
      </w:tr>
      <w:tr w:rsidR="0041596C" w:rsidRPr="00A01B80" w:rsidTr="00B70ED9">
        <w:trPr>
          <w:cantSplit/>
        </w:trPr>
        <w:tc>
          <w:tcPr>
            <w:tcW w:w="827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Ուղղորդում/IP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Routing/IP</w:t>
            </w:r>
          </w:p>
        </w:tc>
        <w:tc>
          <w:tcPr>
            <w:tcW w:w="1699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Առանց NAT օպերատորի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No carrier NAT</w:t>
            </w:r>
          </w:p>
        </w:tc>
        <w:tc>
          <w:tcPr>
            <w:tcW w:w="934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NAT քաղաքականություն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NAT policy</w:t>
            </w:r>
          </w:p>
        </w:tc>
        <w:tc>
          <w:tcPr>
            <w:tcW w:w="1539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Առանց CGNAT (պետք է հրապարակայնորեն երթուղայնացվի)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No CGNAT (must be publicly routable)</w:t>
            </w:r>
          </w:p>
        </w:tc>
      </w:tr>
      <w:tr w:rsidR="0041596C" w:rsidRPr="00A01B80" w:rsidTr="00B70ED9">
        <w:trPr>
          <w:cantSplit/>
        </w:trPr>
        <w:tc>
          <w:tcPr>
            <w:tcW w:w="827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Անվտանգություն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Security</w:t>
            </w:r>
          </w:p>
        </w:tc>
        <w:tc>
          <w:tcPr>
            <w:tcW w:w="1699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DDoS պաշտպանություն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DDoS protection</w:t>
            </w:r>
          </w:p>
        </w:tc>
        <w:tc>
          <w:tcPr>
            <w:tcW w:w="934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Ծավալային մեղմացում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Volumetric mitigation</w:t>
            </w:r>
          </w:p>
        </w:tc>
        <w:tc>
          <w:tcPr>
            <w:tcW w:w="1539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Ներառված է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Included</w:t>
            </w:r>
          </w:p>
        </w:tc>
      </w:tr>
      <w:tr w:rsidR="0041596C" w:rsidRPr="00A01B80" w:rsidTr="00B70ED9">
        <w:trPr>
          <w:cantSplit/>
        </w:trPr>
        <w:tc>
          <w:tcPr>
            <w:tcW w:w="827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Անվտանգություն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Security</w:t>
            </w:r>
          </w:p>
        </w:tc>
        <w:tc>
          <w:tcPr>
            <w:tcW w:w="1699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Պորտի չեզոքություն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Port neutrality</w:t>
            </w:r>
          </w:p>
        </w:tc>
        <w:tc>
          <w:tcPr>
            <w:tcW w:w="934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Թույլատրված պորտեր/արձանագրություններ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Allowed ports/protocols</w:t>
            </w:r>
          </w:p>
        </w:tc>
        <w:tc>
          <w:tcPr>
            <w:tcW w:w="1539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Պահանջվող պորտերի արգելափակում չի թույլատրվում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No blocking of required ports</w:t>
            </w:r>
          </w:p>
        </w:tc>
      </w:tr>
      <w:tr w:rsidR="0041596C" w:rsidRPr="00A01B80" w:rsidTr="00B70ED9">
        <w:trPr>
          <w:cantSplit/>
        </w:trPr>
        <w:tc>
          <w:tcPr>
            <w:tcW w:w="827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Աջակցություն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Support</w:t>
            </w:r>
          </w:p>
        </w:tc>
        <w:tc>
          <w:tcPr>
            <w:tcW w:w="1699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NOC ծածկույթ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NOC coverage</w:t>
            </w:r>
          </w:p>
        </w:tc>
        <w:tc>
          <w:tcPr>
            <w:tcW w:w="934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Աջակցության ժամեր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Support hours</w:t>
            </w:r>
          </w:p>
        </w:tc>
        <w:tc>
          <w:tcPr>
            <w:tcW w:w="1539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24/7/365</w:t>
            </w:r>
          </w:p>
        </w:tc>
      </w:tr>
      <w:tr w:rsidR="0041596C" w:rsidRPr="00A01B80" w:rsidTr="00B70ED9">
        <w:trPr>
          <w:cantSplit/>
        </w:trPr>
        <w:tc>
          <w:tcPr>
            <w:tcW w:w="827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Աջակցություն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Support</w:t>
            </w:r>
          </w:p>
        </w:tc>
        <w:tc>
          <w:tcPr>
            <w:tcW w:w="1699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Խափանման արձագանքման ժամանակ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Fault response time</w:t>
            </w:r>
          </w:p>
        </w:tc>
        <w:tc>
          <w:tcPr>
            <w:tcW w:w="934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Արձագանք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Response</w:t>
            </w:r>
          </w:p>
        </w:tc>
        <w:tc>
          <w:tcPr>
            <w:tcW w:w="1539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≤ 15 րոպե հայտնաբերումից/տուգանքից հետո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≤ 15 minutes from detection/ticket</w:t>
            </w:r>
          </w:p>
        </w:tc>
      </w:tr>
      <w:tr w:rsidR="0041596C" w:rsidRPr="00A01B80" w:rsidTr="00B70ED9">
        <w:trPr>
          <w:cantSplit/>
        </w:trPr>
        <w:tc>
          <w:tcPr>
            <w:tcW w:w="827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Աջակցություն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Support</w:t>
            </w:r>
          </w:p>
        </w:tc>
        <w:tc>
          <w:tcPr>
            <w:tcW w:w="1699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Վերականգնման ժամանակ (կրիտիկական)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Restoration time (critical)</w:t>
            </w:r>
          </w:p>
        </w:tc>
        <w:tc>
          <w:tcPr>
            <w:tcW w:w="934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MTTR</w:t>
            </w:r>
          </w:p>
        </w:tc>
        <w:tc>
          <w:tcPr>
            <w:tcW w:w="1539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≤ 4 ժամ լրիվ անջատման/լուրջ քայքայման դեպքում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≤ 4 hours for total outage/severe degradation</w:t>
            </w:r>
          </w:p>
        </w:tc>
      </w:tr>
      <w:tr w:rsidR="0041596C" w:rsidRPr="00A01B80" w:rsidTr="00B70ED9">
        <w:trPr>
          <w:cantSplit/>
        </w:trPr>
        <w:tc>
          <w:tcPr>
            <w:tcW w:w="827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Մոնիթորինգ և հաշվետվություններ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Monitoring &amp; Reporting</w:t>
            </w:r>
          </w:p>
        </w:tc>
        <w:tc>
          <w:tcPr>
            <w:tcW w:w="1699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Հաճախորդների տեսանելիություն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Customer visibility</w:t>
            </w:r>
          </w:p>
        </w:tc>
        <w:tc>
          <w:tcPr>
            <w:tcW w:w="934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Պորտալ / հաշվետվություններ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Portal / reports</w:t>
            </w:r>
          </w:p>
        </w:tc>
        <w:tc>
          <w:tcPr>
            <w:tcW w:w="1539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Պորտալ/API կամ ամսական SLA հաշվետվություն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Portal/API or monthly SLA report</w:t>
            </w:r>
          </w:p>
        </w:tc>
      </w:tr>
      <w:tr w:rsidR="0041596C" w:rsidRPr="00A01B80" w:rsidTr="00B70ED9">
        <w:trPr>
          <w:cantSplit/>
        </w:trPr>
        <w:tc>
          <w:tcPr>
            <w:tcW w:w="827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Միջոցներ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Remedies</w:t>
            </w:r>
          </w:p>
        </w:tc>
        <w:tc>
          <w:tcPr>
            <w:tcW w:w="1699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Ծառայության կրեդիտներ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Service credits</w:t>
            </w:r>
          </w:p>
        </w:tc>
        <w:tc>
          <w:tcPr>
            <w:tcW w:w="934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Վարկային ժամանակացույց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Credit schedule</w:t>
            </w:r>
          </w:p>
        </w:tc>
        <w:tc>
          <w:tcPr>
            <w:tcW w:w="1539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Սահմանված վարկային աղյուսակ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Defined credit table</w:t>
            </w:r>
          </w:p>
        </w:tc>
      </w:tr>
      <w:tr w:rsidR="0041596C" w:rsidRPr="00A01B80" w:rsidTr="00B70ED9">
        <w:trPr>
          <w:cantSplit/>
        </w:trPr>
        <w:tc>
          <w:tcPr>
            <w:tcW w:w="827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Միջոցներ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Remedies</w:t>
            </w:r>
          </w:p>
        </w:tc>
        <w:tc>
          <w:tcPr>
            <w:tcW w:w="1699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Քրոնիկ խախտման դադարեցում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Chronic breach termination</w:t>
            </w:r>
          </w:p>
        </w:tc>
        <w:tc>
          <w:tcPr>
            <w:tcW w:w="934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Ելքի կետ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Exit clause</w:t>
            </w:r>
          </w:p>
        </w:tc>
        <w:tc>
          <w:tcPr>
            <w:tcW w:w="1539" w:type="pct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SLA-ի կրկնակի խախտումներից հետո դադարեցման իրավունք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Right to terminate after repeated SLA breaches</w:t>
            </w:r>
          </w:p>
        </w:tc>
      </w:tr>
    </w:tbl>
    <w:p w:rsidR="0041596C" w:rsidRPr="00011CB8" w:rsidRDefault="0041596C" w:rsidP="0041596C">
      <w:pPr>
        <w:rPr>
          <w:rFonts w:ascii="Tahoma" w:hAnsi="Tahoma" w:cs="Tahoma"/>
          <w:b/>
          <w:bCs/>
        </w:rPr>
      </w:pPr>
    </w:p>
    <w:p w:rsidR="0041596C" w:rsidRPr="00077720" w:rsidRDefault="0041596C" w:rsidP="0041596C">
      <w:pPr>
        <w:ind w:firstLine="720"/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  <w:r w:rsidRPr="00077720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Կատարողը պարտավոր է ապահովել վերը նշված ծառայությունների և հաշվողական ռեսուրսների տրամադրումը «Ըստ պահանջի» (On-Demand) ընդլայնման հնարավորության մոդելով։</w:t>
      </w:r>
    </w:p>
    <w:p w:rsidR="0041596C" w:rsidRPr="00077720" w:rsidRDefault="0041596C" w:rsidP="0041596C">
      <w:pPr>
        <w:ind w:firstLine="720"/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  <w:r w:rsidRPr="00077720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Վճարումները պետք է իրականացվեն «Վճարիր ըստ օգտագործման» (Pay-As-You-Go) հաշվարկման մոդելով</w:t>
      </w:r>
      <w:r w:rsidRPr="00033B83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 xml:space="preserve"> (</w:t>
      </w:r>
      <w:r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համաձայն հավելված 1.1-ի</w:t>
      </w:r>
      <w:r w:rsidRPr="00033B83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)</w:t>
      </w:r>
      <w:r w:rsidRPr="00077720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՝ պայմանով, որ Կատարողը յուրաքանչյուր հաշվետու ամսվա համար ներկայացնի հաշիվ-ապրանքագիր՝ ներառելով փաստացի օգտագործված հաշվարկային ռեսուրսների (հաշվողական միավորներ, ծավալներ և այլ համապատասխան չափանիշներ) մանրամասն և թափանցիկ բացվածքը։</w:t>
      </w:r>
    </w:p>
    <w:p w:rsidR="0041596C" w:rsidRPr="00077720" w:rsidRDefault="0041596C" w:rsidP="0041596C">
      <w:pPr>
        <w:ind w:firstLine="720"/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</w:p>
    <w:p w:rsidR="0041596C" w:rsidRPr="00077720" w:rsidRDefault="0041596C" w:rsidP="0041596C">
      <w:pPr>
        <w:rPr>
          <w:rFonts w:ascii="GHEA Grapalat" w:hAnsi="GHEA Grapalat" w:cs="Tahoma"/>
          <w:b/>
          <w:bCs/>
          <w:noProof/>
          <w:shd w:val="clear" w:color="auto" w:fill="FFFFFF"/>
          <w:lang w:val="hy-AM"/>
        </w:rPr>
      </w:pPr>
      <w:r w:rsidRPr="00077720">
        <w:rPr>
          <w:rFonts w:ascii="GHEA Grapalat" w:hAnsi="GHEA Grapalat" w:cs="Tahoma"/>
          <w:b/>
          <w:bCs/>
          <w:noProof/>
          <w:shd w:val="clear" w:color="auto" w:fill="FFFFFF"/>
          <w:lang w:val="hy-AM"/>
        </w:rPr>
        <w:t>Հաջորդ սերնդի հրեպատի նկատմամբ պահանջներ (</w:t>
      </w:r>
      <w:r w:rsidRPr="00760766">
        <w:rPr>
          <w:rFonts w:ascii="GHEA Grapalat" w:hAnsi="GHEA Grapalat" w:cs="Tahoma"/>
          <w:b/>
          <w:bCs/>
          <w:noProof/>
          <w:shd w:val="clear" w:color="auto" w:fill="FFFFFF"/>
          <w:lang w:val="hy-AM"/>
        </w:rPr>
        <w:t xml:space="preserve">վիրտուալ </w:t>
      </w:r>
      <w:r w:rsidRPr="00077720">
        <w:rPr>
          <w:rFonts w:ascii="GHEA Grapalat" w:hAnsi="GHEA Grapalat" w:cs="Tahoma"/>
          <w:b/>
          <w:bCs/>
          <w:noProof/>
          <w:shd w:val="clear" w:color="auto" w:fill="FFFFFF"/>
          <w:lang w:val="hy-AM"/>
        </w:rPr>
        <w:t>սարքավորում)՝</w:t>
      </w: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8330"/>
        <w:gridCol w:w="6230"/>
      </w:tblGrid>
      <w:tr w:rsidR="0041596C" w:rsidRPr="00A01B80" w:rsidTr="00B70ED9">
        <w:trPr>
          <w:trHeight w:val="340"/>
        </w:trPr>
        <w:tc>
          <w:tcPr>
            <w:tcW w:w="8330" w:type="dxa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lastRenderedPageBreak/>
              <w:t>Բնութագրեր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</w:rPr>
            </w:pPr>
            <w:r w:rsidRPr="00A01B80">
              <w:rPr>
                <w:rFonts w:ascii="GHEA Grapalat" w:hAnsi="GHEA Grapalat" w:cs="Tahoma"/>
                <w:b/>
                <w:bCs/>
                <w:noProof/>
                <w:color w:val="BFBFBF"/>
                <w:sz w:val="16"/>
                <w:szCs w:val="16"/>
              </w:rPr>
              <w:t>Specs</w:t>
            </w:r>
          </w:p>
        </w:tc>
        <w:tc>
          <w:tcPr>
            <w:tcW w:w="0" w:type="auto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jc w:val="center"/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>«Բ» դաս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jc w:val="center"/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</w:rPr>
            </w:pPr>
            <w:r w:rsidRPr="00A01B80">
              <w:rPr>
                <w:rFonts w:ascii="GHEA Grapalat" w:hAnsi="GHEA Grapalat" w:cs="Tahoma"/>
                <w:b/>
                <w:bCs/>
                <w:noProof/>
                <w:color w:val="BFBFBF"/>
                <w:sz w:val="16"/>
                <w:szCs w:val="16"/>
              </w:rPr>
              <w:t>Class B</w:t>
            </w:r>
          </w:p>
        </w:tc>
      </w:tr>
      <w:tr w:rsidR="0041596C" w:rsidRPr="00A01B80" w:rsidTr="00B70ED9">
        <w:trPr>
          <w:trHeight w:val="20"/>
        </w:trPr>
        <w:tc>
          <w:tcPr>
            <w:tcW w:w="8330" w:type="dxa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Օտագործման տիպ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Typical use</w:t>
            </w:r>
          </w:p>
        </w:tc>
        <w:tc>
          <w:tcPr>
            <w:tcW w:w="0" w:type="auto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Մեծ մասնաճյուղ/տարածաշրջանային գլխավոր գրասենյակ (≤500 օգտատեր, կուտակվող)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Large Branch/Regional HQ (≤500 users, stackable)</w:t>
            </w:r>
          </w:p>
        </w:tc>
      </w:tr>
      <w:tr w:rsidR="0041596C" w:rsidRPr="00A01B80" w:rsidTr="00B70ED9">
        <w:trPr>
          <w:trHeight w:val="20"/>
        </w:trPr>
        <w:tc>
          <w:tcPr>
            <w:tcW w:w="8330" w:type="dxa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FW IMIX թողունակություն (Գիգաբիթ/վրկ.)</w:t>
            </w: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</w:rPr>
              <w:t xml:space="preserve">, </w:t>
            </w: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համաձայն</w:t>
            </w: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</w:rPr>
              <w:t xml:space="preserve"> </w:t>
            </w: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RFC 3511/2647-ի չափման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FW IMIX throughput (Gbps), measured per RFC 3511/2647</w:t>
            </w:r>
          </w:p>
        </w:tc>
        <w:tc>
          <w:tcPr>
            <w:tcW w:w="0" w:type="auto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≥8</w:t>
            </w:r>
          </w:p>
        </w:tc>
      </w:tr>
      <w:tr w:rsidR="0041596C" w:rsidRPr="00A01B80" w:rsidTr="00B70ED9">
        <w:trPr>
          <w:trHeight w:val="20"/>
        </w:trPr>
        <w:tc>
          <w:tcPr>
            <w:tcW w:w="8330" w:type="dxa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Սպառնալիքների կանխարգելում լիարժեք L7-ով (Գիգաբիթ/վրկ.)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Threat prevention w/ full L7 (Gbps)</w:t>
            </w:r>
          </w:p>
        </w:tc>
        <w:tc>
          <w:tcPr>
            <w:tcW w:w="0" w:type="auto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≥5</w:t>
            </w:r>
          </w:p>
        </w:tc>
      </w:tr>
      <w:tr w:rsidR="0041596C" w:rsidRPr="00A01B80" w:rsidTr="00B70ED9">
        <w:trPr>
          <w:trHeight w:val="20"/>
        </w:trPr>
        <w:tc>
          <w:tcPr>
            <w:tcW w:w="8330" w:type="dxa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Նոր սեսիաներ վայրկյանում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New sessions per second</w:t>
            </w:r>
          </w:p>
        </w:tc>
        <w:tc>
          <w:tcPr>
            <w:tcW w:w="0" w:type="auto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≥100k</w:t>
            </w:r>
          </w:p>
        </w:tc>
      </w:tr>
      <w:tr w:rsidR="0041596C" w:rsidRPr="00A01B80" w:rsidTr="00B70ED9">
        <w:trPr>
          <w:trHeight w:val="20"/>
        </w:trPr>
        <w:tc>
          <w:tcPr>
            <w:tcW w:w="8330" w:type="dxa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Միաժամանակյա սեսիաների առավելագույն քանակը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Max concurrent sessions</w:t>
            </w:r>
          </w:p>
        </w:tc>
        <w:tc>
          <w:tcPr>
            <w:tcW w:w="0" w:type="auto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≥4M</w:t>
            </w:r>
          </w:p>
        </w:tc>
      </w:tr>
      <w:tr w:rsidR="0041596C" w:rsidRPr="00A01B80" w:rsidTr="00B70ED9">
        <w:trPr>
          <w:trHeight w:val="20"/>
        </w:trPr>
        <w:tc>
          <w:tcPr>
            <w:tcW w:w="8330" w:type="dxa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Վիճակային պահպանման հնարավորությամբ հրեպատ, NAT, գոտիներ, երկակի շերտ IPv4/IPv6: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Stateful FW, NAT, zones, IPv4/IPv6 dual-stack</w:t>
            </w:r>
          </w:p>
        </w:tc>
        <w:tc>
          <w:tcPr>
            <w:tcW w:w="0" w:type="auto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Պարտադիր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Required</w:t>
            </w:r>
          </w:p>
        </w:tc>
      </w:tr>
      <w:tr w:rsidR="0041596C" w:rsidRPr="00A01B80" w:rsidTr="00B70ED9">
        <w:trPr>
          <w:trHeight w:val="20"/>
        </w:trPr>
        <w:tc>
          <w:tcPr>
            <w:tcW w:w="8330" w:type="dxa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DPI (L7 հավելվածի ID/ստորագրություն + հևրիստիկա)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DPI (L7 App-ID / signature + heuristics)</w:t>
            </w:r>
          </w:p>
        </w:tc>
        <w:tc>
          <w:tcPr>
            <w:tcW w:w="0" w:type="auto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Պարտադիր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Required</w:t>
            </w:r>
          </w:p>
        </w:tc>
      </w:tr>
      <w:tr w:rsidR="0041596C" w:rsidRPr="00A01B80" w:rsidTr="00B70ED9">
        <w:trPr>
          <w:trHeight w:val="20"/>
        </w:trPr>
        <w:tc>
          <w:tcPr>
            <w:tcW w:w="8330" w:type="dxa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IPS (NGIPS)</w:t>
            </w:r>
          </w:p>
        </w:tc>
        <w:tc>
          <w:tcPr>
            <w:tcW w:w="0" w:type="auto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Պարտադիր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Required</w:t>
            </w:r>
          </w:p>
        </w:tc>
      </w:tr>
      <w:tr w:rsidR="0041596C" w:rsidRPr="00A01B80" w:rsidTr="00B70ED9">
        <w:trPr>
          <w:trHeight w:val="20"/>
        </w:trPr>
        <w:tc>
          <w:tcPr>
            <w:tcW w:w="8330" w:type="dxa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WAF (ինտեգրված հակադարձ պրոքսի կամ սերտորեն ինտեգրված մոդուլ; OWASP CRS-համատեղելի կանոնների հավաքածու)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WAF (integrated reverse-proxy or tightly integrated module; OWASP CRS-compatible ruleset)</w:t>
            </w:r>
          </w:p>
        </w:tc>
        <w:tc>
          <w:tcPr>
            <w:tcW w:w="0" w:type="auto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Պարտադիր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Required</w:t>
            </w:r>
          </w:p>
        </w:tc>
      </w:tr>
      <w:tr w:rsidR="0041596C" w:rsidRPr="00A01B80" w:rsidTr="00B70ED9">
        <w:trPr>
          <w:trHeight w:val="20"/>
        </w:trPr>
        <w:tc>
          <w:tcPr>
            <w:tcW w:w="8330" w:type="dxa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Վնասակար ծրագրերի առաջադեմ հայտնաբերում (ML/AV)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Advanced malware detection (ML/AV)</w:t>
            </w:r>
          </w:p>
        </w:tc>
        <w:tc>
          <w:tcPr>
            <w:tcW w:w="0" w:type="auto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Պարտադիր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Required</w:t>
            </w:r>
          </w:p>
        </w:tc>
      </w:tr>
      <w:tr w:rsidR="0041596C" w:rsidRPr="00A01B80" w:rsidTr="00B70ED9">
        <w:trPr>
          <w:trHeight w:val="20"/>
        </w:trPr>
        <w:tc>
          <w:tcPr>
            <w:tcW w:w="8330" w:type="dxa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Սենդբոքսինգ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Sandboxing</w:t>
            </w:r>
          </w:p>
        </w:tc>
        <w:tc>
          <w:tcPr>
            <w:tcW w:w="0" w:type="auto"/>
            <w:hideMark/>
          </w:tcPr>
          <w:p w:rsidR="0041596C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D745F7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Չի ներառվում։ Հասանելի է ակտիվացման համար լրացուցիչ համաձայնագրի դեպքում։</w:t>
            </w:r>
          </w:p>
          <w:p w:rsidR="0041596C" w:rsidRPr="00436D9E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</w:pPr>
            <w:r w:rsidRPr="00436D9E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Not included. Available for activation on additional agreement.</w:t>
            </w:r>
          </w:p>
        </w:tc>
      </w:tr>
      <w:tr w:rsidR="0041596C" w:rsidRPr="00A01B80" w:rsidTr="00B70ED9">
        <w:trPr>
          <w:trHeight w:val="20"/>
        </w:trPr>
        <w:tc>
          <w:tcPr>
            <w:tcW w:w="8330" w:type="dxa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Ամպային Սենդբոքս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Cloud sandbox</w:t>
            </w:r>
          </w:p>
        </w:tc>
        <w:tc>
          <w:tcPr>
            <w:tcW w:w="0" w:type="auto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Ոչ պարտադիր: Եթե </w:t>
            </w:r>
            <w:r w:rsidRPr="00A01B80">
              <w:rPr>
                <w:rFonts w:ascii="Cambria Math" w:hAnsi="Cambria Math" w:cs="Cambria Math"/>
                <w:noProof/>
                <w:color w:val="000000"/>
                <w:sz w:val="16"/>
                <w:szCs w:val="16"/>
                <w:lang w:val="hy-AM"/>
              </w:rPr>
              <w:t>​​</w:t>
            </w:r>
            <w:r w:rsidRPr="00A01B80">
              <w:rPr>
                <w:rFonts w:ascii="GHEA Grapalat" w:hAnsi="GHEA Grapalat" w:cs="GHEA Grapalat"/>
                <w:noProof/>
                <w:color w:val="000000"/>
                <w:sz w:val="16"/>
                <w:szCs w:val="16"/>
                <w:lang w:val="hy-AM"/>
              </w:rPr>
              <w:t>առաջարկվում</w:t>
            </w: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A01B80">
              <w:rPr>
                <w:rFonts w:ascii="GHEA Grapalat" w:hAnsi="GHEA Grapalat" w:cs="GHEA Grapalat"/>
                <w:noProof/>
                <w:color w:val="000000"/>
                <w:sz w:val="16"/>
                <w:szCs w:val="16"/>
                <w:lang w:val="hy-AM"/>
              </w:rPr>
              <w:t>է</w:t>
            </w: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. պետք է կոդավորի տեղափոխման/պահման ժամանակ, ապահովի DPA, GDPR-ին համապատասխան տվյալների մշակում, տարածաշրջանային տվյալների ռեզիդենտություն և ISO/IEC 27001/SOC 2 հավաստագրում։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Not-required. If offered: MUST encrypt in transit/at rest, provide DPA, GDPR-aligned data handling, regional data residency, and ISO/IEC 27001/SOC 2 attestation.</w:t>
            </w:r>
          </w:p>
        </w:tc>
      </w:tr>
      <w:tr w:rsidR="0041596C" w:rsidRPr="00A01B80" w:rsidTr="00B70ED9">
        <w:trPr>
          <w:trHeight w:val="20"/>
        </w:trPr>
        <w:tc>
          <w:tcPr>
            <w:tcW w:w="8330" w:type="dxa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TLS 1.3 վերծանում (ուղիղ պրոքսի և հակադարձ մուտքային ուղղություն)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TLS 1.3 decryption (fwd proxy &amp; inbound reverse)</w:t>
            </w:r>
          </w:p>
        </w:tc>
        <w:tc>
          <w:tcPr>
            <w:tcW w:w="0" w:type="auto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Պարտադիր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Required</w:t>
            </w:r>
          </w:p>
        </w:tc>
      </w:tr>
      <w:tr w:rsidR="0041596C" w:rsidRPr="00A01B80" w:rsidTr="00B70ED9">
        <w:trPr>
          <w:trHeight w:val="20"/>
        </w:trPr>
        <w:tc>
          <w:tcPr>
            <w:tcW w:w="8330" w:type="dxa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Զրոյական վստահություն (NIST SP 800-207 համապատասխանեցում; ZTNA քաղաքականության կիրառման կետ; յուրաքանչյուր սեսիայի համար authZ)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Zero-Trust (NIST SP 800-207 alignment; ZTNA policy enforcement point; per-session authZ)</w:t>
            </w:r>
          </w:p>
        </w:tc>
        <w:tc>
          <w:tcPr>
            <w:tcW w:w="0" w:type="auto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Պարտադիր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Required</w:t>
            </w:r>
          </w:p>
        </w:tc>
      </w:tr>
      <w:tr w:rsidR="0041596C" w:rsidRPr="00A01B80" w:rsidTr="00B70ED9">
        <w:trPr>
          <w:trHeight w:val="20"/>
        </w:trPr>
        <w:tc>
          <w:tcPr>
            <w:tcW w:w="8330" w:type="dxa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Ինքնության ճանաչում (AD/Azure AD/LDAP; օգտատիրոջ ID-ի կապակցում)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Identity awareness (AD/Azure AD/LDAP; user-ID mapping)</w:t>
            </w:r>
          </w:p>
        </w:tc>
        <w:tc>
          <w:tcPr>
            <w:tcW w:w="0" w:type="auto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Պարտադիր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Required</w:t>
            </w:r>
          </w:p>
        </w:tc>
      </w:tr>
      <w:tr w:rsidR="0041596C" w:rsidRPr="00A01B80" w:rsidTr="00B70ED9">
        <w:trPr>
          <w:trHeight w:val="20"/>
        </w:trPr>
        <w:tc>
          <w:tcPr>
            <w:tcW w:w="8330" w:type="dxa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Ադմինիստրատիվ SSO (SAML 2.0 / OpenID Connect)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lastRenderedPageBreak/>
              <w:t>Admin SSO (SAML 2.0 / OpenID Connect)</w:t>
            </w:r>
          </w:p>
        </w:tc>
        <w:tc>
          <w:tcPr>
            <w:tcW w:w="0" w:type="auto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lastRenderedPageBreak/>
              <w:t>Պարտադիր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lastRenderedPageBreak/>
              <w:t>Required</w:t>
            </w:r>
          </w:p>
        </w:tc>
      </w:tr>
      <w:tr w:rsidR="0041596C" w:rsidRPr="00A01B80" w:rsidTr="00B70ED9">
        <w:trPr>
          <w:trHeight w:val="20"/>
        </w:trPr>
        <w:tc>
          <w:tcPr>
            <w:tcW w:w="8330" w:type="dxa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lastRenderedPageBreak/>
              <w:t>Դինամիկ ուղու ընտրություն / կառավարում հավելվածի և SLA-ի միջոցով (MEF 70.1/70.2 ատրիբուտներ)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Dynamic path selection / steering by app &amp; SLA (MEF 70.1/70.2 attributes)</w:t>
            </w:r>
          </w:p>
        </w:tc>
        <w:tc>
          <w:tcPr>
            <w:tcW w:w="0" w:type="auto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Պարտադիր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Required</w:t>
            </w:r>
          </w:p>
        </w:tc>
      </w:tr>
      <w:tr w:rsidR="0041596C" w:rsidRPr="00A01B80" w:rsidTr="00B70ED9">
        <w:trPr>
          <w:trHeight w:val="20"/>
        </w:trPr>
        <w:tc>
          <w:tcPr>
            <w:tcW w:w="8330" w:type="dxa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Հիմնական/համակցված ցանց. IPsec (ESP) IKEv2-ով; TLS-ի վրա հիմնված թունելներ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Underlay/overlay: IPsec (ESP) with IKEv2; TLS-based tunnels</w:t>
            </w:r>
          </w:p>
        </w:tc>
        <w:tc>
          <w:tcPr>
            <w:tcW w:w="0" w:type="auto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Պարտադիր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Required</w:t>
            </w:r>
          </w:p>
        </w:tc>
      </w:tr>
      <w:tr w:rsidR="0041596C" w:rsidRPr="00A01B80" w:rsidTr="00B70ED9">
        <w:trPr>
          <w:cantSplit/>
          <w:trHeight w:val="20"/>
        </w:trPr>
        <w:tc>
          <w:tcPr>
            <w:tcW w:w="8330" w:type="dxa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Արդյունավետության չափումներ (ջիթեր/լատենտություն/կորուստ), BFD մեկ ցատկով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Performance probes (jitter/latency/loss), BFD single-hop</w:t>
            </w:r>
          </w:p>
        </w:tc>
        <w:tc>
          <w:tcPr>
            <w:tcW w:w="0" w:type="auto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Պարտադիր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Required</w:t>
            </w:r>
          </w:p>
        </w:tc>
      </w:tr>
      <w:tr w:rsidR="0041596C" w:rsidRPr="00A01B80" w:rsidTr="00B70ED9">
        <w:trPr>
          <w:trHeight w:val="20"/>
        </w:trPr>
        <w:tc>
          <w:tcPr>
            <w:tcW w:w="8330" w:type="dxa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MPLS/BGP/OSPF/Static; ECMP</w:t>
            </w:r>
          </w:p>
        </w:tc>
        <w:tc>
          <w:tcPr>
            <w:tcW w:w="0" w:type="auto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Պարտադիր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Required</w:t>
            </w:r>
          </w:p>
        </w:tc>
      </w:tr>
      <w:tr w:rsidR="0041596C" w:rsidRPr="00A01B80" w:rsidTr="00B70ED9">
        <w:trPr>
          <w:trHeight w:val="20"/>
        </w:trPr>
        <w:tc>
          <w:tcPr>
            <w:tcW w:w="8330" w:type="dxa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VoIP պաշտպանություններ (SIP ALG անջատիչ, DSCP պահպանում/նշում)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VoIP protections (SIP ALG toggle, DSCP preserve/remark)</w:t>
            </w:r>
          </w:p>
        </w:tc>
        <w:tc>
          <w:tcPr>
            <w:tcW w:w="0" w:type="auto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Պարտադիր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Required</w:t>
            </w:r>
          </w:p>
        </w:tc>
      </w:tr>
      <w:tr w:rsidR="0041596C" w:rsidRPr="00A01B80" w:rsidTr="00B70ED9">
        <w:trPr>
          <w:trHeight w:val="20"/>
        </w:trPr>
        <w:tc>
          <w:tcPr>
            <w:tcW w:w="8330" w:type="dxa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Exchange Online պաշտպանություն-համեմատելի փոստի անվտանգության ինտեգրացիա հիբրիդային հոսքերի համար՝ SPF/DKIM/DMARC վավերացում, SMTP TLS/mTLS կիրառում, միակցիչի փոխգործակցություն, կցորդի դետոնացիա, URL-ի վերաշարադրում/սեղմման ժամանակի համարժեք, վերնագրի/դրոշմանիշի պահպանում՝ հետագծելիության համար։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Exchange Online Protection-comparable mail security integration for hybrid flows: SPF/DKIM/DMARC validation; SMTP TLS/mTLS enforcement; connector interop; attachment detonation; URL rewrite/time-of-click equivalent; header/stamp preservation for traceability</w:t>
            </w:r>
          </w:p>
        </w:tc>
        <w:tc>
          <w:tcPr>
            <w:tcW w:w="0" w:type="auto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Պարտադիր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Required</w:t>
            </w:r>
          </w:p>
        </w:tc>
      </w:tr>
      <w:tr w:rsidR="0041596C" w:rsidRPr="00A01B80" w:rsidTr="00B70ED9">
        <w:trPr>
          <w:trHeight w:val="20"/>
        </w:trPr>
        <w:tc>
          <w:tcPr>
            <w:tcW w:w="8330" w:type="dxa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HA (վիճակային A/S)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HA (stateful A/S)</w:t>
            </w:r>
          </w:p>
        </w:tc>
        <w:tc>
          <w:tcPr>
            <w:tcW w:w="0" w:type="auto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Պարտադիր, ≤1վրկ.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Required; ≤1s</w:t>
            </w:r>
          </w:p>
        </w:tc>
      </w:tr>
      <w:tr w:rsidR="0041596C" w:rsidRPr="00A01B80" w:rsidTr="00B70ED9">
        <w:trPr>
          <w:trHeight w:val="20"/>
        </w:trPr>
        <w:tc>
          <w:tcPr>
            <w:tcW w:w="8330" w:type="dxa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Կլաստերացում / կուտակում (մեկ ադմինիստրատորի տիրույթ, քաղաքականության համաժամեցում, միասնական գրանցամատյաններ)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Clustering / stacking (single admin domain, policy sync, unified logs)</w:t>
            </w:r>
          </w:p>
        </w:tc>
        <w:tc>
          <w:tcPr>
            <w:tcW w:w="0" w:type="auto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Պարտադիր, (≥2 հանգույց)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Required (≥2 nodes)</w:t>
            </w:r>
          </w:p>
        </w:tc>
      </w:tr>
      <w:tr w:rsidR="0041596C" w:rsidRPr="00A01B80" w:rsidTr="00B70ED9">
        <w:trPr>
          <w:trHeight w:val="20"/>
        </w:trPr>
        <w:tc>
          <w:tcPr>
            <w:tcW w:w="8330" w:type="dxa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Վիրտուալ համակարգեր (բազմակի վարձակալ համատեքստեր)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Virtual systems (multi-tenant contexts)</w:t>
            </w:r>
          </w:p>
        </w:tc>
        <w:tc>
          <w:tcPr>
            <w:tcW w:w="0" w:type="auto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Ոչ պարտադիր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Not-required</w:t>
            </w:r>
          </w:p>
        </w:tc>
      </w:tr>
      <w:tr w:rsidR="0041596C" w:rsidRPr="00A01B80" w:rsidTr="00B70ED9">
        <w:trPr>
          <w:trHeight w:val="20"/>
        </w:trPr>
        <w:tc>
          <w:tcPr>
            <w:tcW w:w="8330" w:type="dxa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GE պղինձ (RJ-45)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GE copper (RJ-45)</w:t>
            </w:r>
          </w:p>
        </w:tc>
        <w:tc>
          <w:tcPr>
            <w:tcW w:w="0" w:type="auto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≥12</w:t>
            </w:r>
          </w:p>
        </w:tc>
      </w:tr>
      <w:tr w:rsidR="0041596C" w:rsidRPr="00A01B80" w:rsidTr="00B70ED9">
        <w:trPr>
          <w:trHeight w:val="20"/>
        </w:trPr>
        <w:tc>
          <w:tcPr>
            <w:tcW w:w="8330" w:type="dxa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SFP/SFP+ 1/10G</w:t>
            </w:r>
          </w:p>
        </w:tc>
        <w:tc>
          <w:tcPr>
            <w:tcW w:w="0" w:type="auto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≥6 SFP+</w:t>
            </w:r>
          </w:p>
        </w:tc>
      </w:tr>
      <w:tr w:rsidR="0041596C" w:rsidRPr="00A01B80" w:rsidTr="00B70ED9">
        <w:trPr>
          <w:trHeight w:val="20"/>
        </w:trPr>
        <w:tc>
          <w:tcPr>
            <w:tcW w:w="8330" w:type="dxa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25G SFP28</w:t>
            </w:r>
          </w:p>
        </w:tc>
        <w:tc>
          <w:tcPr>
            <w:tcW w:w="0" w:type="auto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Ոչ պարտադիր: Եթե </w:t>
            </w:r>
            <w:r w:rsidRPr="00A01B80">
              <w:rPr>
                <w:rFonts w:ascii="Cambria Math" w:hAnsi="Cambria Math" w:cs="Cambria Math"/>
                <w:noProof/>
                <w:color w:val="000000"/>
                <w:sz w:val="16"/>
                <w:szCs w:val="16"/>
                <w:lang w:val="hy-AM"/>
              </w:rPr>
              <w:t>​​</w:t>
            </w:r>
            <w:r w:rsidRPr="00A01B80">
              <w:rPr>
                <w:rFonts w:ascii="GHEA Grapalat" w:hAnsi="GHEA Grapalat" w:cs="GHEA Grapalat"/>
                <w:noProof/>
                <w:color w:val="000000"/>
                <w:sz w:val="16"/>
                <w:szCs w:val="16"/>
                <w:lang w:val="hy-AM"/>
              </w:rPr>
              <w:t>առաջարկվում</w:t>
            </w: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A01B80">
              <w:rPr>
                <w:rFonts w:ascii="GHEA Grapalat" w:hAnsi="GHEA Grapalat" w:cs="GHEA Grapalat"/>
                <w:noProof/>
                <w:color w:val="000000"/>
                <w:sz w:val="16"/>
                <w:szCs w:val="16"/>
                <w:lang w:val="hy-AM"/>
              </w:rPr>
              <w:t>է</w:t>
            </w: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՝ պետք է համապատասխանի IEEE 802.3ba/bs ստանդարտին։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Not-required.  If offered: must interop per IEEE 802.3ba/bs.</w:t>
            </w:r>
          </w:p>
        </w:tc>
      </w:tr>
      <w:tr w:rsidR="0041596C" w:rsidRPr="00A01B80" w:rsidTr="00B70ED9">
        <w:trPr>
          <w:trHeight w:val="20"/>
        </w:trPr>
        <w:tc>
          <w:tcPr>
            <w:tcW w:w="8330" w:type="dxa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40/100G (QSFP+/QSFP28)</w:t>
            </w:r>
          </w:p>
        </w:tc>
        <w:tc>
          <w:tcPr>
            <w:tcW w:w="0" w:type="auto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Ոչ պարտադիր: Եթե </w:t>
            </w:r>
            <w:r w:rsidRPr="00A01B80">
              <w:rPr>
                <w:rFonts w:ascii="Cambria Math" w:hAnsi="Cambria Math" w:cs="Cambria Math"/>
                <w:noProof/>
                <w:color w:val="000000"/>
                <w:sz w:val="16"/>
                <w:szCs w:val="16"/>
                <w:lang w:val="hy-AM"/>
              </w:rPr>
              <w:t>​​</w:t>
            </w:r>
            <w:r w:rsidRPr="00A01B80">
              <w:rPr>
                <w:rFonts w:ascii="GHEA Grapalat" w:hAnsi="GHEA Grapalat" w:cs="GHEA Grapalat"/>
                <w:noProof/>
                <w:color w:val="000000"/>
                <w:sz w:val="16"/>
                <w:szCs w:val="16"/>
                <w:lang w:val="hy-AM"/>
              </w:rPr>
              <w:t>առաջարկվում</w:t>
            </w: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A01B80">
              <w:rPr>
                <w:rFonts w:ascii="GHEA Grapalat" w:hAnsi="GHEA Grapalat" w:cs="GHEA Grapalat"/>
                <w:noProof/>
                <w:color w:val="000000"/>
                <w:sz w:val="16"/>
                <w:szCs w:val="16"/>
                <w:lang w:val="hy-AM"/>
              </w:rPr>
              <w:t>է</w:t>
            </w: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. </w:t>
            </w:r>
            <w:r w:rsidRPr="00A01B80">
              <w:rPr>
                <w:rFonts w:ascii="GHEA Grapalat" w:hAnsi="GHEA Grapalat" w:cs="GHEA Grapalat"/>
                <w:noProof/>
                <w:color w:val="000000"/>
                <w:sz w:val="16"/>
                <w:szCs w:val="16"/>
                <w:lang w:val="hy-AM"/>
              </w:rPr>
              <w:t>պետք</w:t>
            </w: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A01B80">
              <w:rPr>
                <w:rFonts w:ascii="GHEA Grapalat" w:hAnsi="GHEA Grapalat" w:cs="GHEA Grapalat"/>
                <w:noProof/>
                <w:color w:val="000000"/>
                <w:sz w:val="16"/>
                <w:szCs w:val="16"/>
                <w:lang w:val="hy-AM"/>
              </w:rPr>
              <w:t>է</w:t>
            </w: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A01B80">
              <w:rPr>
                <w:rFonts w:ascii="GHEA Grapalat" w:hAnsi="GHEA Grapalat" w:cs="GHEA Grapalat"/>
                <w:noProof/>
                <w:color w:val="000000"/>
                <w:sz w:val="16"/>
                <w:szCs w:val="16"/>
                <w:lang w:val="hy-AM"/>
              </w:rPr>
              <w:t>համապատասխանի</w:t>
            </w: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IEEE 802.3ba/bs ստանդարտին։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Not-required.  If offered: must interop per IEEE 802.3ba/bs.</w:t>
            </w:r>
          </w:p>
        </w:tc>
      </w:tr>
      <w:tr w:rsidR="0041596C" w:rsidRPr="00A01B80" w:rsidTr="00B70ED9">
        <w:trPr>
          <w:trHeight w:val="20"/>
        </w:trPr>
        <w:tc>
          <w:tcPr>
            <w:tcW w:w="8330" w:type="dxa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Կոնսոլ/USB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Console/USB</w:t>
            </w:r>
          </w:p>
        </w:tc>
        <w:tc>
          <w:tcPr>
            <w:tcW w:w="0" w:type="auto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RJ-45/USB-C</w:t>
            </w:r>
          </w:p>
        </w:tc>
      </w:tr>
      <w:tr w:rsidR="0041596C" w:rsidRPr="00A01B80" w:rsidTr="00B70ED9">
        <w:trPr>
          <w:trHeight w:val="20"/>
        </w:trPr>
        <w:tc>
          <w:tcPr>
            <w:tcW w:w="8330" w:type="dxa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Տեղական GUI/CLI; SSHv2; դերերի վրա հիմնված ադմինիստրավորում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Local GUI/CLI; SSHv2; role-based admin</w:t>
            </w:r>
          </w:p>
        </w:tc>
        <w:tc>
          <w:tcPr>
            <w:tcW w:w="0" w:type="auto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Պարտադիր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Required</w:t>
            </w:r>
          </w:p>
        </w:tc>
      </w:tr>
      <w:tr w:rsidR="0041596C" w:rsidRPr="00A01B80" w:rsidTr="00B70ED9">
        <w:trPr>
          <w:trHeight w:val="20"/>
        </w:trPr>
        <w:tc>
          <w:tcPr>
            <w:tcW w:w="8330" w:type="dxa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API-ներ (REST/NETCONF); Ansible-ին հարմարեցված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APIs (REST/NETCONF); Ansible-friendly</w:t>
            </w:r>
          </w:p>
        </w:tc>
        <w:tc>
          <w:tcPr>
            <w:tcW w:w="0" w:type="auto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Պարտադիր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Required</w:t>
            </w:r>
          </w:p>
        </w:tc>
      </w:tr>
      <w:tr w:rsidR="0041596C" w:rsidRPr="00A01B80" w:rsidTr="00B70ED9">
        <w:trPr>
          <w:trHeight w:val="20"/>
        </w:trPr>
        <w:tc>
          <w:tcPr>
            <w:tcW w:w="8330" w:type="dxa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lastRenderedPageBreak/>
              <w:t>Համակարգային գրանցամատյանի կառուցվածք (RFC 5424) և TLS սիստեմային գրանցամատյան (RFC 5425) դեպի SIEM; IPFIX կամ NetFlow արտահանում (RFC 7011/համատեղելի)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Syslog structured (RFC 5424) &amp; TLS syslog (RFC 5425) to SIEM; IPFIX or NetFlow export (RFC 7011/compatible)</w:t>
            </w:r>
          </w:p>
        </w:tc>
        <w:tc>
          <w:tcPr>
            <w:tcW w:w="0" w:type="auto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Պարտադիր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Required</w:t>
            </w:r>
          </w:p>
        </w:tc>
      </w:tr>
      <w:tr w:rsidR="0041596C" w:rsidRPr="00A01B80" w:rsidTr="00B70ED9">
        <w:trPr>
          <w:trHeight w:val="20"/>
        </w:trPr>
        <w:tc>
          <w:tcPr>
            <w:tcW w:w="8330" w:type="dxa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NTPv4 համաժամեցում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NTPv4 time sync</w:t>
            </w:r>
          </w:p>
        </w:tc>
        <w:tc>
          <w:tcPr>
            <w:tcW w:w="0" w:type="auto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Պարտադիր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Required</w:t>
            </w:r>
          </w:p>
        </w:tc>
      </w:tr>
      <w:tr w:rsidR="0041596C" w:rsidRPr="00A01B80" w:rsidTr="00B70ED9">
        <w:trPr>
          <w:trHeight w:val="20"/>
        </w:trPr>
        <w:tc>
          <w:tcPr>
            <w:tcW w:w="8330" w:type="dxa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SNMPv3</w:t>
            </w:r>
          </w:p>
        </w:tc>
        <w:tc>
          <w:tcPr>
            <w:tcW w:w="0" w:type="auto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Պարտադիր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Required</w:t>
            </w:r>
          </w:p>
        </w:tc>
      </w:tr>
      <w:tr w:rsidR="0041596C" w:rsidRPr="00A01B80" w:rsidTr="00B70ED9">
        <w:trPr>
          <w:trHeight w:val="20"/>
        </w:trPr>
        <w:tc>
          <w:tcPr>
            <w:tcW w:w="8330" w:type="dxa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Բարձր արագության միջկապեր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High-speed interconnects</w:t>
            </w:r>
          </w:p>
        </w:tc>
        <w:tc>
          <w:tcPr>
            <w:tcW w:w="0" w:type="auto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Ներառել 4× SFP+ DAC (≤3 մ)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Include 4× SFP+ DAC (≤3 m)</w:t>
            </w:r>
          </w:p>
        </w:tc>
      </w:tr>
      <w:tr w:rsidR="0041596C" w:rsidRPr="00A01B80" w:rsidTr="00B70ED9">
        <w:trPr>
          <w:trHeight w:val="20"/>
        </w:trPr>
        <w:tc>
          <w:tcPr>
            <w:tcW w:w="8330" w:type="dxa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Ներառված հավաստագրեր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Licenses included</w:t>
            </w:r>
          </w:p>
        </w:tc>
        <w:tc>
          <w:tcPr>
            <w:tcW w:w="0" w:type="auto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բաժանորդագրություն, որը ներառում է՝ IPS, URL ֆիլտրացում, AV/AM, նույնականացում, SD-WAN, կենտրոնացված կառավարում, գրանցամատյանների վերահասցեավորում, TLS վերծանում/WAF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subscriptions covering: IPS, URL filtering, AV/AM, identity, SD-WAN, centralized mgmt, log forwarding, TLS decryption/WAF</w:t>
            </w:r>
          </w:p>
        </w:tc>
      </w:tr>
      <w:tr w:rsidR="0041596C" w:rsidRPr="00A01B80" w:rsidTr="00B70ED9">
        <w:trPr>
          <w:trHeight w:val="20"/>
        </w:trPr>
        <w:tc>
          <w:tcPr>
            <w:tcW w:w="8330" w:type="dxa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Սենդբոքս հավաստագիր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Sandbox license</w:t>
            </w:r>
          </w:p>
        </w:tc>
        <w:tc>
          <w:tcPr>
            <w:tcW w:w="0" w:type="auto"/>
            <w:hideMark/>
          </w:tcPr>
          <w:p w:rsidR="0041596C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D745F7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Չի ներառվում։ Հասանելի է ակտիվացման համար լրացուցիչ համաձայնագրի դեպքում։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436D9E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Not included. Available for activation on additional agreement.</w:t>
            </w:r>
          </w:p>
        </w:tc>
      </w:tr>
      <w:tr w:rsidR="0041596C" w:rsidRPr="00A01B80" w:rsidTr="00B70ED9">
        <w:trPr>
          <w:trHeight w:val="20"/>
        </w:trPr>
        <w:tc>
          <w:tcPr>
            <w:tcW w:w="8330" w:type="dxa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Ծրագրային աջակցություն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Software support</w:t>
            </w:r>
          </w:p>
        </w:tc>
        <w:tc>
          <w:tcPr>
            <w:tcW w:w="0" w:type="auto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Անվտանգության թարմացումներ և գործառույթների թողարկումներ ≥5 տարվա ընթացքում՝ հաստատումից հետո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 xml:space="preserve">Security updates &amp; feature releases for ≥5 years from acceptance </w:t>
            </w:r>
          </w:p>
        </w:tc>
      </w:tr>
      <w:tr w:rsidR="0041596C" w:rsidRPr="00A01B80" w:rsidTr="00B70ED9">
        <w:trPr>
          <w:trHeight w:val="20"/>
        </w:trPr>
        <w:tc>
          <w:tcPr>
            <w:tcW w:w="8330" w:type="dxa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Սարքավորման երաշխիք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HW warranty</w:t>
            </w:r>
          </w:p>
        </w:tc>
        <w:tc>
          <w:tcPr>
            <w:tcW w:w="0" w:type="auto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≥</w:t>
            </w:r>
            <w:r w:rsidRPr="00033B83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1</w:t>
            </w: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տարի, նախապես՝ հաջորդ աշխատանքային օրվա փոխարինումով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≥</w:t>
            </w:r>
            <w:r>
              <w:rPr>
                <w:rFonts w:ascii="GHEA Grapalat" w:hAnsi="GHEA Grapalat" w:cs="Tahoma"/>
                <w:noProof/>
                <w:color w:val="BFBFBF"/>
                <w:sz w:val="16"/>
                <w:szCs w:val="16"/>
              </w:rPr>
              <w:t>1</w:t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 xml:space="preserve"> years NBD advance replacement</w:t>
            </w:r>
          </w:p>
        </w:tc>
      </w:tr>
      <w:tr w:rsidR="0041596C" w:rsidRPr="00A01B80" w:rsidTr="00B70ED9">
        <w:trPr>
          <w:trHeight w:val="20"/>
        </w:trPr>
        <w:tc>
          <w:tcPr>
            <w:tcW w:w="8330" w:type="dxa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Փաստաթղթեր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Documentation</w:t>
            </w:r>
          </w:p>
        </w:tc>
        <w:tc>
          <w:tcPr>
            <w:tcW w:w="0" w:type="auto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Տեղադրման + Ադմինիստրավորման ուղեցույց + MIB/API հղումներ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Admin + hardening guide + MIB/API references</w:t>
            </w:r>
          </w:p>
        </w:tc>
      </w:tr>
    </w:tbl>
    <w:p w:rsidR="0041596C" w:rsidRPr="00937E2C" w:rsidRDefault="0041596C" w:rsidP="0041596C">
      <w:pPr>
        <w:rPr>
          <w:rFonts w:ascii="Tahoma" w:hAnsi="Tahoma" w:cs="Tahoma"/>
          <w:noProof/>
          <w:lang w:val="hy-AM"/>
        </w:rPr>
      </w:pPr>
    </w:p>
    <w:p w:rsidR="0041596C" w:rsidRPr="00286C9B" w:rsidRDefault="0041596C" w:rsidP="0041596C">
      <w:pPr>
        <w:rPr>
          <w:rFonts w:ascii="GHEA Grapalat" w:hAnsi="GHEA Grapalat" w:cs="Tahoma"/>
          <w:b/>
          <w:bCs/>
          <w:noProof/>
          <w:shd w:val="clear" w:color="auto" w:fill="FFFFFF"/>
          <w:lang w:val="hy-AM"/>
        </w:rPr>
      </w:pPr>
      <w:r w:rsidRPr="00286C9B">
        <w:rPr>
          <w:rFonts w:ascii="GHEA Grapalat" w:hAnsi="GHEA Grapalat" w:cs="Tahoma"/>
          <w:b/>
          <w:bCs/>
          <w:noProof/>
          <w:shd w:val="clear" w:color="auto" w:fill="FFFFFF"/>
          <w:lang w:val="hy-AM"/>
        </w:rPr>
        <w:t>Data link ծառայություններ.</w:t>
      </w:r>
    </w:p>
    <w:p w:rsidR="0041596C" w:rsidRPr="00286C9B" w:rsidRDefault="0041596C" w:rsidP="0041596C">
      <w:pPr>
        <w:ind w:firstLine="720"/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  <w:r w:rsidRPr="00286C9B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 xml:space="preserve">1. Հայաստանի Հանրապետության Կառավարության </w:t>
      </w:r>
      <w:r w:rsidRPr="0041596C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(</w:t>
      </w:r>
      <w:r w:rsidRPr="00286C9B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ք. Երևան, Կառավարական տուն 1 հասցեի</w:t>
      </w:r>
      <w:r w:rsidRPr="0041596C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)</w:t>
      </w:r>
      <w:r w:rsidRPr="00286C9B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 xml:space="preserve"> և ՏՄԿ միջև</w:t>
      </w:r>
      <w:r w:rsidRPr="0041596C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`</w:t>
      </w:r>
      <w:r w:rsidRPr="00286C9B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 xml:space="preserve"> առանձնացված պորտով,</w:t>
      </w:r>
    </w:p>
    <w:p w:rsidR="0041596C" w:rsidRPr="00286C9B" w:rsidRDefault="0041596C" w:rsidP="0041596C">
      <w:pPr>
        <w:ind w:firstLine="720"/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  <w:r w:rsidRPr="00286C9B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 xml:space="preserve">2. «Պաշտոնական տեղեկագիր» ՓԲԸ-ի </w:t>
      </w:r>
      <w:r w:rsidRPr="0041596C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(</w:t>
      </w:r>
      <w:r w:rsidRPr="00286C9B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ք. Երևան, Տիգրան Մեծի 4 հասցեի</w:t>
      </w:r>
      <w:r w:rsidRPr="0041596C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)</w:t>
      </w:r>
      <w:r w:rsidRPr="00286C9B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 xml:space="preserve"> և ՏՄԿ միջև</w:t>
      </w:r>
      <w:r w:rsidRPr="0041596C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 xml:space="preserve">` </w:t>
      </w:r>
      <w:r w:rsidRPr="0041596C">
        <w:rPr>
          <w:rFonts w:ascii="GHEA Grapalat" w:hAnsi="GHEA Grapalat" w:cs="GHEA Grapalat"/>
          <w:noProof/>
          <w:sz w:val="20"/>
          <w:szCs w:val="20"/>
          <w:shd w:val="clear" w:color="auto" w:fill="FFFFFF"/>
          <w:lang w:val="hy-AM"/>
        </w:rPr>
        <w:t>առանձնացված</w:t>
      </w:r>
      <w:r w:rsidRPr="0041596C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 xml:space="preserve"> </w:t>
      </w:r>
      <w:r w:rsidRPr="0041596C">
        <w:rPr>
          <w:rFonts w:ascii="GHEA Grapalat" w:hAnsi="GHEA Grapalat" w:cs="GHEA Grapalat"/>
          <w:noProof/>
          <w:sz w:val="20"/>
          <w:szCs w:val="20"/>
          <w:shd w:val="clear" w:color="auto" w:fill="FFFFFF"/>
          <w:lang w:val="hy-AM"/>
        </w:rPr>
        <w:t>պորտով</w:t>
      </w:r>
      <w:r w:rsidRPr="00286C9B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,</w:t>
      </w:r>
    </w:p>
    <w:p w:rsidR="0041596C" w:rsidRPr="0041596C" w:rsidRDefault="0041596C" w:rsidP="0041596C">
      <w:pPr>
        <w:ind w:firstLine="720"/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  <w:r w:rsidRPr="00286C9B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 xml:space="preserve">3. պրոբացիայի ծառայության </w:t>
      </w:r>
      <w:r w:rsidRPr="0041596C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(</w:t>
      </w:r>
      <w:r w:rsidRPr="00286C9B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ք. Երևան, Գարեգին Նժդեհի 23/1 հասցեի</w:t>
      </w:r>
      <w:r w:rsidRPr="0041596C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)</w:t>
      </w:r>
      <w:r w:rsidRPr="00286C9B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 xml:space="preserve"> և ՏՄԿ միջև</w:t>
      </w:r>
      <w:r w:rsidRPr="0041596C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 xml:space="preserve">` </w:t>
      </w:r>
      <w:r w:rsidRPr="0041596C">
        <w:rPr>
          <w:rFonts w:ascii="GHEA Grapalat" w:hAnsi="GHEA Grapalat" w:cs="GHEA Grapalat"/>
          <w:noProof/>
          <w:sz w:val="20"/>
          <w:szCs w:val="20"/>
          <w:shd w:val="clear" w:color="auto" w:fill="FFFFFF"/>
          <w:lang w:val="hy-AM"/>
        </w:rPr>
        <w:t>առանձնացված</w:t>
      </w:r>
      <w:r w:rsidRPr="0041596C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 xml:space="preserve"> </w:t>
      </w:r>
      <w:r w:rsidRPr="0041596C">
        <w:rPr>
          <w:rFonts w:ascii="GHEA Grapalat" w:hAnsi="GHEA Grapalat" w:cs="GHEA Grapalat"/>
          <w:noProof/>
          <w:sz w:val="20"/>
          <w:szCs w:val="20"/>
          <w:shd w:val="clear" w:color="auto" w:fill="FFFFFF"/>
          <w:lang w:val="hy-AM"/>
        </w:rPr>
        <w:t>պորտով</w:t>
      </w:r>
      <w:r w:rsidRPr="0041596C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,</w:t>
      </w:r>
    </w:p>
    <w:p w:rsidR="0041596C" w:rsidRPr="0041596C" w:rsidRDefault="0041596C" w:rsidP="0041596C">
      <w:pPr>
        <w:ind w:firstLine="720"/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  <w:r w:rsidRPr="0041596C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 xml:space="preserve">4. Արդարադատության նախարարության (ք. Երևան, Վ. Սարգսյան 3/8 </w:t>
      </w:r>
      <w:r w:rsidRPr="00286C9B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հասցեի</w:t>
      </w:r>
      <w:r w:rsidRPr="0041596C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 xml:space="preserve">) </w:t>
      </w:r>
      <w:r w:rsidRPr="00286C9B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և</w:t>
      </w:r>
      <w:r w:rsidRPr="0041596C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 xml:space="preserve"> </w:t>
      </w:r>
      <w:r w:rsidRPr="0041596C">
        <w:rPr>
          <w:rFonts w:ascii="GHEA Grapalat" w:hAnsi="GHEA Grapalat" w:cs="GHEA Grapalat"/>
          <w:noProof/>
          <w:sz w:val="20"/>
          <w:szCs w:val="20"/>
          <w:shd w:val="clear" w:color="auto" w:fill="FFFFFF"/>
          <w:lang w:val="hy-AM"/>
        </w:rPr>
        <w:t xml:space="preserve">ՏՄԿ </w:t>
      </w:r>
      <w:r w:rsidRPr="00286C9B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միջև</w:t>
      </w:r>
      <w:r w:rsidRPr="0041596C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 xml:space="preserve">` </w:t>
      </w:r>
      <w:r w:rsidRPr="0041596C">
        <w:rPr>
          <w:rFonts w:ascii="GHEA Grapalat" w:hAnsi="GHEA Grapalat" w:cs="GHEA Grapalat"/>
          <w:noProof/>
          <w:sz w:val="20"/>
          <w:szCs w:val="20"/>
          <w:shd w:val="clear" w:color="auto" w:fill="FFFFFF"/>
          <w:lang w:val="hy-AM"/>
        </w:rPr>
        <w:t>առանձնացված</w:t>
      </w:r>
      <w:r w:rsidRPr="0041596C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 xml:space="preserve"> </w:t>
      </w:r>
      <w:r w:rsidRPr="0041596C">
        <w:rPr>
          <w:rFonts w:ascii="GHEA Grapalat" w:hAnsi="GHEA Grapalat" w:cs="GHEA Grapalat"/>
          <w:noProof/>
          <w:sz w:val="20"/>
          <w:szCs w:val="20"/>
          <w:shd w:val="clear" w:color="auto" w:fill="FFFFFF"/>
          <w:lang w:val="hy-AM"/>
        </w:rPr>
        <w:t>պորտով</w:t>
      </w:r>
      <w:r w:rsidRPr="0041596C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:</w:t>
      </w: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2049"/>
        <w:gridCol w:w="2493"/>
        <w:gridCol w:w="1913"/>
        <w:gridCol w:w="4727"/>
        <w:gridCol w:w="3378"/>
      </w:tblGrid>
      <w:tr w:rsidR="0041596C" w:rsidRPr="00937E2C" w:rsidTr="00B70ED9">
        <w:trPr>
          <w:cantSplit/>
        </w:trPr>
        <w:tc>
          <w:tcPr>
            <w:tcW w:w="2093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  <w:t>Կատեգորիա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b/>
                <w:color w:val="BFBFBF"/>
                <w:sz w:val="16"/>
                <w:szCs w:val="16"/>
                <w:lang w:val="hy-AM"/>
              </w:rPr>
              <w:t>Category</w:t>
            </w:r>
          </w:p>
        </w:tc>
        <w:tc>
          <w:tcPr>
            <w:tcW w:w="283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  <w:t>Պահանջ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b/>
                <w:color w:val="BFBFBF"/>
                <w:sz w:val="16"/>
                <w:szCs w:val="16"/>
                <w:lang w:val="hy-AM"/>
              </w:rPr>
              <w:t>Requirement</w:t>
            </w:r>
          </w:p>
        </w:tc>
        <w:tc>
          <w:tcPr>
            <w:tcW w:w="1984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  <w:t>Պարամետր/ Չափանիշ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b/>
                <w:color w:val="BFBFBF"/>
                <w:sz w:val="16"/>
                <w:szCs w:val="16"/>
                <w:lang w:val="hy-AM"/>
              </w:rPr>
              <w:t>Parameter</w:t>
            </w:r>
            <w:r w:rsidRPr="00A01B80">
              <w:rPr>
                <w:rFonts w:ascii="GHEA Grapalat" w:hAnsi="GHEA Grapalat" w:cs="Tahoma"/>
                <w:b/>
                <w:bCs/>
                <w:noProof/>
                <w:color w:val="BFBFBF"/>
                <w:sz w:val="16"/>
                <w:szCs w:val="16"/>
                <w:lang w:val="hy-AM"/>
              </w:rPr>
              <w:t>/</w:t>
            </w:r>
            <w:r w:rsidRPr="00A01B80">
              <w:rPr>
                <w:rFonts w:ascii="GHEA Grapalat" w:hAnsi="GHEA Grapalat" w:cs="Tahoma"/>
                <w:b/>
                <w:color w:val="BFBFBF"/>
                <w:sz w:val="16"/>
                <w:szCs w:val="16"/>
                <w:lang w:val="hy-AM"/>
              </w:rPr>
              <w:t>Metric</w:t>
            </w:r>
          </w:p>
        </w:tc>
        <w:tc>
          <w:tcPr>
            <w:tcW w:w="5387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  <w:t>Նպատակ / Արժեք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b/>
                <w:color w:val="BFBFBF"/>
                <w:sz w:val="16"/>
                <w:szCs w:val="16"/>
                <w:lang w:val="hy-AM"/>
              </w:rPr>
              <w:t>Target / Value</w:t>
            </w:r>
          </w:p>
        </w:tc>
        <w:tc>
          <w:tcPr>
            <w:tcW w:w="368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  <w:t>Հաստատում / Նշումներ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b/>
                <w:color w:val="BFBFBF"/>
                <w:sz w:val="16"/>
                <w:szCs w:val="16"/>
                <w:lang w:val="hy-AM"/>
              </w:rPr>
              <w:t>Verification / Notes</w:t>
            </w:r>
          </w:p>
        </w:tc>
      </w:tr>
      <w:tr w:rsidR="0041596C" w:rsidRPr="00937E2C" w:rsidTr="00B70ED9">
        <w:trPr>
          <w:cantSplit/>
        </w:trPr>
        <w:tc>
          <w:tcPr>
            <w:tcW w:w="2093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lastRenderedPageBreak/>
              <w:t>Ծառայության տեսակ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Service Type</w:t>
            </w:r>
          </w:p>
        </w:tc>
        <w:tc>
          <w:tcPr>
            <w:tcW w:w="283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L2 կետից կետ ծառայություն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L2 point-to-point service</w:t>
            </w:r>
          </w:p>
        </w:tc>
        <w:tc>
          <w:tcPr>
            <w:tcW w:w="1984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Ծառայության տեսակ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 xml:space="preserve">Service </w:t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Type</w:t>
            </w:r>
          </w:p>
        </w:tc>
        <w:tc>
          <w:tcPr>
            <w:tcW w:w="5387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Layer 2 Ethernet (e.g. EoMPLS / EVPN / equivalent)</w:t>
            </w:r>
          </w:p>
        </w:tc>
        <w:tc>
          <w:tcPr>
            <w:tcW w:w="368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Պայմանագիր + ծառայության նկարագրություն։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Տեխնիկական նախագծման փաստաթղթեր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Contract + service description;</w:t>
            </w: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br/>
              <w:t>technical design docs</w:t>
            </w:r>
          </w:p>
        </w:tc>
      </w:tr>
      <w:tr w:rsidR="0041596C" w:rsidRPr="00937E2C" w:rsidTr="00B70ED9">
        <w:trPr>
          <w:cantSplit/>
        </w:trPr>
        <w:tc>
          <w:tcPr>
            <w:tcW w:w="2093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Ծառայության տեսակ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Service Type</w:t>
            </w:r>
          </w:p>
        </w:tc>
        <w:tc>
          <w:tcPr>
            <w:tcW w:w="283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Վերջնակետեր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Endpoints</w:t>
            </w:r>
          </w:p>
        </w:tc>
        <w:tc>
          <w:tcPr>
            <w:tcW w:w="1984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«Ա» կետ / «Բ» կետ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A-end / B-end</w:t>
            </w:r>
          </w:p>
        </w:tc>
        <w:tc>
          <w:tcPr>
            <w:tcW w:w="5387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ind w:left="170" w:hanging="170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1. CSP DC rack (Exchange/AD/NGFW) </w:t>
            </w:r>
            <w:r w:rsidRPr="00A01B80">
              <w:rPr>
                <w:rFonts w:ascii="Tahoma" w:hAnsi="Tahoma" w:cs="Tahoma"/>
                <w:noProof/>
                <w:sz w:val="13"/>
                <w:szCs w:val="13"/>
                <w:lang w:val="hy-AM"/>
              </w:rPr>
              <w:t>↔</w:t>
            </w: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 առանձնացված պորտ դեպի Կառավարության գրասենյակի տարածք (հասցե՝ Կառավարական տուն 1, Երևան)</w:t>
            </w: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br/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 xml:space="preserve">CSP DC rack (Exchange/AD/NGFW) </w:t>
            </w:r>
            <w:r w:rsidRPr="00A01B80">
              <w:rPr>
                <w:rFonts w:ascii="Tahoma" w:hAnsi="Tahoma" w:cs="Tahoma"/>
                <w:noProof/>
                <w:color w:val="BFBFBF"/>
                <w:sz w:val="13"/>
                <w:szCs w:val="13"/>
                <w:lang w:val="hy-AM"/>
              </w:rPr>
              <w:t>↔</w:t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 xml:space="preserve"> Dedicated port to Government office core (addr: Government House 1, Yerevan)</w:t>
            </w:r>
          </w:p>
          <w:p w:rsidR="0041596C" w:rsidRPr="00A01B80" w:rsidRDefault="0041596C" w:rsidP="00B70ED9">
            <w:pPr>
              <w:spacing w:after="0" w:line="240" w:lineRule="auto"/>
              <w:ind w:left="170" w:hanging="170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2. CSP DC rack (Exchange/AD/NGFW) </w:t>
            </w:r>
            <w:r w:rsidRPr="00A01B80">
              <w:rPr>
                <w:rFonts w:ascii="Tahoma" w:hAnsi="Tahoma" w:cs="Tahoma"/>
                <w:noProof/>
                <w:sz w:val="13"/>
                <w:szCs w:val="13"/>
                <w:lang w:val="hy-AM"/>
              </w:rPr>
              <w:t>↔</w:t>
            </w: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 ARLIS գրասենյակ (հասցե՝ Տիգրան Մեծի 4, Երևան)</w:t>
            </w: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br/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 xml:space="preserve">CSP DC rack (Exchange/AD/NGFW) </w:t>
            </w:r>
            <w:r w:rsidRPr="00A01B80">
              <w:rPr>
                <w:rFonts w:ascii="Tahoma" w:hAnsi="Tahoma" w:cs="Tahoma"/>
                <w:noProof/>
                <w:color w:val="BFBFBF"/>
                <w:sz w:val="13"/>
                <w:szCs w:val="13"/>
                <w:lang w:val="hy-AM"/>
              </w:rPr>
              <w:t>↔</w:t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 xml:space="preserve"> ARLIS office (addr: Tigran Mets 4, Yerevan)</w:t>
            </w:r>
          </w:p>
          <w:p w:rsidR="0041596C" w:rsidRDefault="0041596C" w:rsidP="00B70ED9">
            <w:pPr>
              <w:spacing w:after="0" w:line="240" w:lineRule="auto"/>
              <w:ind w:left="170" w:hanging="170"/>
              <w:contextualSpacing/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3. CSP DC rack (Exchange/AD/NGFW) </w:t>
            </w:r>
            <w:r w:rsidRPr="00A01B80">
              <w:rPr>
                <w:rFonts w:ascii="Tahoma" w:hAnsi="Tahoma" w:cs="Tahoma"/>
                <w:noProof/>
                <w:sz w:val="13"/>
                <w:szCs w:val="13"/>
                <w:lang w:val="hy-AM"/>
              </w:rPr>
              <w:t>↔</w:t>
            </w: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 Պրոբացիայի ծառայության գրասենյակ (հասցե՝ Գարեգին Նժդեհի 23/1, Երևան)</w:t>
            </w: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br/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 xml:space="preserve">CSP DC rack (Exchange/AD/NGFW) </w:t>
            </w:r>
            <w:r w:rsidRPr="00A01B80">
              <w:rPr>
                <w:rFonts w:ascii="Tahoma" w:hAnsi="Tahoma" w:cs="Tahoma"/>
                <w:noProof/>
                <w:color w:val="BFBFBF"/>
                <w:sz w:val="13"/>
                <w:szCs w:val="13"/>
                <w:lang w:val="hy-AM"/>
              </w:rPr>
              <w:t>↔</w:t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 xml:space="preserve"> Probation service office (addr: Garegin Nzhdeh 23/1, Yerevan)</w:t>
            </w:r>
          </w:p>
          <w:p w:rsidR="0041596C" w:rsidRPr="00A01B80" w:rsidRDefault="0041596C" w:rsidP="00B70ED9">
            <w:pPr>
              <w:spacing w:after="0" w:line="240" w:lineRule="auto"/>
              <w:ind w:left="170" w:hanging="170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41596C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4</w:t>
            </w: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. CSP DC rack (Exchange/AD/NGFW) </w:t>
            </w:r>
            <w:r w:rsidRPr="00A01B80">
              <w:rPr>
                <w:rFonts w:ascii="Tahoma" w:hAnsi="Tahoma" w:cs="Tahoma"/>
                <w:noProof/>
                <w:sz w:val="13"/>
                <w:szCs w:val="13"/>
                <w:lang w:val="hy-AM"/>
              </w:rPr>
              <w:t>↔</w:t>
            </w: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 </w:t>
            </w:r>
            <w:r w:rsidRPr="000F41A2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Արդարադատության նախարարություն (</w:t>
            </w: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հասցե՝</w:t>
            </w:r>
            <w:r w:rsidRPr="0041596C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 </w:t>
            </w:r>
            <w:r w:rsidRPr="000F41A2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ք. Երևան, Վ. Սարգսյան 3/8)</w:t>
            </w: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br/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 xml:space="preserve">CSP DC rack (Exchange/AD/NGFW) </w:t>
            </w:r>
            <w:r w:rsidRPr="00A01B80">
              <w:rPr>
                <w:rFonts w:ascii="Tahoma" w:hAnsi="Tahoma" w:cs="Tahoma"/>
                <w:noProof/>
                <w:color w:val="BFBFBF"/>
                <w:sz w:val="13"/>
                <w:szCs w:val="13"/>
                <w:lang w:val="hy-AM"/>
              </w:rPr>
              <w:t>↔</w:t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 xml:space="preserve"> </w:t>
            </w:r>
            <w:r w:rsidRPr="000F41A2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Ministry of Justice</w:t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 xml:space="preserve"> (addr: </w:t>
            </w:r>
            <w:r w:rsidRPr="0041596C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V. Sargsian</w:t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 xml:space="preserve"> 3/</w:t>
            </w:r>
            <w:r w:rsidRPr="0041596C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8</w:t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, Yerevan)</w:t>
            </w:r>
          </w:p>
        </w:tc>
        <w:tc>
          <w:tcPr>
            <w:tcW w:w="368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Մատակարարի փաստաթղթերում շղթայի ID(ներ)ը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Circuit ID(s) in provider documentation</w:t>
            </w:r>
          </w:p>
        </w:tc>
      </w:tr>
      <w:tr w:rsidR="0041596C" w:rsidRPr="00937E2C" w:rsidTr="00B70ED9">
        <w:trPr>
          <w:cantSplit/>
        </w:trPr>
        <w:tc>
          <w:tcPr>
            <w:tcW w:w="2093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Թողունակություն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Bandwidth</w:t>
            </w:r>
          </w:p>
        </w:tc>
        <w:tc>
          <w:tcPr>
            <w:tcW w:w="283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Պարտավորված սիմետրիկ թողունակություն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Committed symmetric bandwidth</w:t>
            </w:r>
          </w:p>
        </w:tc>
        <w:tc>
          <w:tcPr>
            <w:tcW w:w="1984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CIR</w:t>
            </w:r>
          </w:p>
        </w:tc>
        <w:tc>
          <w:tcPr>
            <w:tcW w:w="5387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≤</w:t>
            </w: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 1 Գբիթ/վրկ վերբեռնում և ներբեռնում, ամբողջական դուպլեքս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≤</w:t>
            </w: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 xml:space="preserve"> </w:t>
            </w: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</w:rPr>
              <w:t>1</w:t>
            </w: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 xml:space="preserve"> Gbit/s up &amp; down, full duplex</w:t>
            </w:r>
          </w:p>
        </w:tc>
        <w:tc>
          <w:tcPr>
            <w:tcW w:w="368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Սպասարկման պատվեր։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ընդունման թողունակության թեստ (iperf և այլն)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Service order;</w:t>
            </w: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br/>
              <w:t>acceptance throughput test (iperf etc.)</w:t>
            </w:r>
          </w:p>
        </w:tc>
      </w:tr>
      <w:tr w:rsidR="0041596C" w:rsidRPr="00937E2C" w:rsidTr="00B70ED9">
        <w:trPr>
          <w:cantSplit/>
        </w:trPr>
        <w:tc>
          <w:tcPr>
            <w:tcW w:w="2093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Թողունակություն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Bandwidth</w:t>
            </w:r>
          </w:p>
        </w:tc>
        <w:tc>
          <w:tcPr>
            <w:tcW w:w="283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CIR-ից ոչ ցածր ձևավորում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No shaping below CIR</w:t>
            </w:r>
          </w:p>
        </w:tc>
        <w:tc>
          <w:tcPr>
            <w:tcW w:w="1984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Ձևավորում/ վերահսկողություն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Shaping / policing</w:t>
            </w:r>
          </w:p>
        </w:tc>
        <w:tc>
          <w:tcPr>
            <w:tcW w:w="5387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CIR-ից ցածր ձևավորում/պահեստավորում չի թույլատրվում (բացառությամբ համաձայնեցված DoS պաշտպանության):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No shaping/policing below CIR (except agreed DoS protection)</w:t>
            </w:r>
          </w:p>
        </w:tc>
        <w:tc>
          <w:tcPr>
            <w:tcW w:w="368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Կարգավորումների վերանայում + թեստավորում CIR-ում՝ թեստային գեներատորի միջոցով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Config review + test at CIR using test generator</w:t>
            </w:r>
          </w:p>
        </w:tc>
      </w:tr>
      <w:tr w:rsidR="0041596C" w:rsidRPr="00937E2C" w:rsidTr="00B70ED9">
        <w:trPr>
          <w:cantSplit/>
        </w:trPr>
        <w:tc>
          <w:tcPr>
            <w:tcW w:w="2093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L2 բնութագրերը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L2 Characteristics</w:t>
            </w:r>
          </w:p>
        </w:tc>
        <w:tc>
          <w:tcPr>
            <w:tcW w:w="283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Էթերնետ կադրավորում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Ethernet framing</w:t>
            </w:r>
          </w:p>
        </w:tc>
        <w:tc>
          <w:tcPr>
            <w:tcW w:w="1984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Ստանդարտ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Standard</w:t>
            </w:r>
          </w:p>
        </w:tc>
        <w:tc>
          <w:tcPr>
            <w:tcW w:w="5387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IEEE 802.3 Ethernet</w:t>
            </w:r>
          </w:p>
        </w:tc>
        <w:tc>
          <w:tcPr>
            <w:tcW w:w="368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Մատակարարի տեխնիկական բնութագրերը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Provider technical spec</w:t>
            </w:r>
          </w:p>
        </w:tc>
      </w:tr>
      <w:tr w:rsidR="0041596C" w:rsidRPr="00937E2C" w:rsidTr="00B70ED9">
        <w:trPr>
          <w:cantSplit/>
        </w:trPr>
        <w:tc>
          <w:tcPr>
            <w:tcW w:w="2093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L2 բնութագրերը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L2 Characteristics</w:t>
            </w:r>
          </w:p>
        </w:tc>
        <w:tc>
          <w:tcPr>
            <w:tcW w:w="283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VLAN-ի հնարավորութուն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VLAN support</w:t>
            </w:r>
          </w:p>
        </w:tc>
        <w:tc>
          <w:tcPr>
            <w:tcW w:w="1984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Պիտակավորում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Tagging</w:t>
            </w:r>
          </w:p>
        </w:tc>
        <w:tc>
          <w:tcPr>
            <w:tcW w:w="5387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IEEE 802.1Q VLAN պիտակավորումը աջակցվում է։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QinQ (802.1ad)՝ պահանջի դեպքում։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IEEE 802.1Q VLAN tagging supported;</w:t>
            </w: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br/>
              <w:t>QinQ (802.1ad) if requested</w:t>
            </w:r>
          </w:p>
        </w:tc>
        <w:tc>
          <w:tcPr>
            <w:tcW w:w="368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Լաբորատոր փորձարկում՝ ծայրից ծայր պիտակավորված շրջանակներով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Lab test with tagged frames end-to-end</w:t>
            </w:r>
          </w:p>
        </w:tc>
      </w:tr>
      <w:tr w:rsidR="0041596C" w:rsidRPr="00937E2C" w:rsidTr="00B70ED9">
        <w:trPr>
          <w:cantSplit/>
        </w:trPr>
        <w:tc>
          <w:tcPr>
            <w:tcW w:w="2093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lastRenderedPageBreak/>
              <w:t>L2 բնութագրերը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L2 Characteristics</w:t>
            </w:r>
          </w:p>
        </w:tc>
        <w:tc>
          <w:tcPr>
            <w:tcW w:w="283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MTU</w:t>
            </w:r>
          </w:p>
        </w:tc>
        <w:tc>
          <w:tcPr>
            <w:tcW w:w="1984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Արդյունավետ IP MTU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Effective IP MTU</w:t>
            </w:r>
          </w:p>
        </w:tc>
        <w:tc>
          <w:tcPr>
            <w:tcW w:w="5387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≥ 1500 բայթ IP բեռնվածություն առանց մասնատման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≥ 1500 bytes IP payload without fragmentation</w:t>
            </w:r>
          </w:p>
        </w:tc>
        <w:tc>
          <w:tcPr>
            <w:tcW w:w="368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Ping DF-բիթով և մեծ ծանրաբեռնվածությամբ։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կապուղու MTU թեստ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Ping with DF-bit and large payload;</w:t>
            </w: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br/>
              <w:t>path MTU test</w:t>
            </w:r>
          </w:p>
        </w:tc>
      </w:tr>
      <w:tr w:rsidR="0041596C" w:rsidRPr="0041596C" w:rsidTr="00B70ED9">
        <w:trPr>
          <w:cantSplit/>
        </w:trPr>
        <w:tc>
          <w:tcPr>
            <w:tcW w:w="2093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Հուսալիություն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Redundancy</w:t>
            </w:r>
          </w:p>
        </w:tc>
        <w:tc>
          <w:tcPr>
            <w:tcW w:w="283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Ուղիների բազմազանություն (եթե պատվիրված է)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Path diversity (if ordered)</w:t>
            </w:r>
          </w:p>
        </w:tc>
        <w:tc>
          <w:tcPr>
            <w:tcW w:w="1984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Ֆիզիկական/ տրամաբանական ուղիներ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Physical / logical paths</w:t>
            </w:r>
          </w:p>
        </w:tc>
        <w:tc>
          <w:tcPr>
            <w:tcW w:w="5387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Երկու տարբեր ուղիներ և անկախ վերջին մղոն (որտեղ հնարավոր է)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Two diverse paths &amp; independent last-mile (where feasible)</w:t>
            </w:r>
          </w:p>
        </w:tc>
        <w:tc>
          <w:tcPr>
            <w:tcW w:w="368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Մատակարարի տոպոլոգիայի դիագրամ;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բազմազանության հայտարարություն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Provider topology diagram;</w:t>
            </w: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br/>
              <w:t>diversity statement</w:t>
            </w:r>
          </w:p>
        </w:tc>
      </w:tr>
      <w:tr w:rsidR="0041596C" w:rsidRPr="00937E2C" w:rsidTr="00B70ED9">
        <w:trPr>
          <w:cantSplit/>
        </w:trPr>
        <w:tc>
          <w:tcPr>
            <w:tcW w:w="2093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Հասանելիություն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Availability</w:t>
            </w:r>
          </w:p>
        </w:tc>
        <w:tc>
          <w:tcPr>
            <w:tcW w:w="283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Ծառայության տարեկան  հասանելիություն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Annual service availability</w:t>
            </w:r>
          </w:p>
        </w:tc>
        <w:tc>
          <w:tcPr>
            <w:tcW w:w="1984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Հասանելիություն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Availability</w:t>
            </w:r>
          </w:p>
        </w:tc>
        <w:tc>
          <w:tcPr>
            <w:tcW w:w="5387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≥ 99.9% օրացուցային տարվա մեջ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≥ 99.9% per calendar year</w:t>
            </w:r>
          </w:p>
        </w:tc>
        <w:tc>
          <w:tcPr>
            <w:tcW w:w="368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Ամսական SLA հաշվետվություն։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NMS-ի հասանելիության վիճակագրություն։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Monthly SLA report;</w:t>
            </w: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br/>
              <w:t>NMS availability stats</w:t>
            </w:r>
          </w:p>
        </w:tc>
      </w:tr>
      <w:tr w:rsidR="0041596C" w:rsidRPr="00937E2C" w:rsidTr="00B70ED9">
        <w:trPr>
          <w:cantSplit/>
        </w:trPr>
        <w:tc>
          <w:tcPr>
            <w:tcW w:w="2093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Հասանելիություն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Availability</w:t>
            </w:r>
          </w:p>
        </w:tc>
        <w:tc>
          <w:tcPr>
            <w:tcW w:w="283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Անհասանելիության սահմանում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Unavailability definition</w:t>
            </w:r>
          </w:p>
        </w:tc>
        <w:tc>
          <w:tcPr>
            <w:tcW w:w="1984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Կորստի շեմը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Loss threshold</w:t>
            </w:r>
          </w:p>
        </w:tc>
        <w:tc>
          <w:tcPr>
            <w:tcW w:w="5387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անջատում = փաթեթների կորուստ ≥ 50% &gt; 1 րոպեի ընթացքում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Packet loss ≥ 50% for &gt; 1 minute = outage</w:t>
            </w:r>
          </w:p>
        </w:tc>
        <w:tc>
          <w:tcPr>
            <w:tcW w:w="368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Սահմանված է SLA-ում։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Ստուգված է գրանցամատյանների/նմուշառումների միջոցով։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Defined in SLA;</w:t>
            </w: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br/>
              <w:t>verified via logs/probes</w:t>
            </w:r>
          </w:p>
        </w:tc>
      </w:tr>
      <w:tr w:rsidR="0041596C" w:rsidRPr="00937E2C" w:rsidTr="00B70ED9">
        <w:trPr>
          <w:cantSplit/>
        </w:trPr>
        <w:tc>
          <w:tcPr>
            <w:tcW w:w="2093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Սպասարկում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Maintenance</w:t>
            </w:r>
          </w:p>
        </w:tc>
        <w:tc>
          <w:tcPr>
            <w:tcW w:w="283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Պլանավորված սպասարկման ծանուցում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Planned maintenance notice</w:t>
            </w:r>
          </w:p>
        </w:tc>
        <w:tc>
          <w:tcPr>
            <w:tcW w:w="1984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Ծանուցման ժամկետը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Notice period</w:t>
            </w:r>
          </w:p>
        </w:tc>
        <w:tc>
          <w:tcPr>
            <w:tcW w:w="5387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≥ 5 աշխատանքային օր սպասարկումից առաջ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≥ 5 working days before maintenance</w:t>
            </w:r>
          </w:p>
        </w:tc>
        <w:tc>
          <w:tcPr>
            <w:tcW w:w="368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Մատակարարի փոփոխության ծանուցումներ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Provider change notifications</w:t>
            </w:r>
          </w:p>
        </w:tc>
      </w:tr>
      <w:tr w:rsidR="0041596C" w:rsidRPr="0041596C" w:rsidTr="00B70ED9">
        <w:trPr>
          <w:cantSplit/>
        </w:trPr>
        <w:tc>
          <w:tcPr>
            <w:tcW w:w="2093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Սպասարկում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Maintenance</w:t>
            </w:r>
          </w:p>
        </w:tc>
        <w:tc>
          <w:tcPr>
            <w:tcW w:w="283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Սպասարկման պատուհանի ժամանակացույց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Maintenance window timing</w:t>
            </w:r>
          </w:p>
        </w:tc>
        <w:tc>
          <w:tcPr>
            <w:tcW w:w="1984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Օրվա ժամը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Time of day</w:t>
            </w:r>
          </w:p>
        </w:tc>
        <w:tc>
          <w:tcPr>
            <w:tcW w:w="5387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Աշխատանքային ժամերից դուրս (օրինակ՝ տեղական ժամանակով 00:00-06:00)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Outside business hours (e.g. 00:00–06:00 local)</w:t>
            </w:r>
          </w:p>
        </w:tc>
        <w:tc>
          <w:tcPr>
            <w:tcW w:w="368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Ժամանակացույցի փոփոխության վերանայում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Change schedule review</w:t>
            </w:r>
          </w:p>
        </w:tc>
      </w:tr>
      <w:tr w:rsidR="0041596C" w:rsidRPr="0041596C" w:rsidTr="00B70ED9">
        <w:trPr>
          <w:cantSplit/>
        </w:trPr>
        <w:tc>
          <w:tcPr>
            <w:tcW w:w="2093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Սպասարկում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Maintenance</w:t>
            </w:r>
          </w:p>
        </w:tc>
        <w:tc>
          <w:tcPr>
            <w:tcW w:w="283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Սպասարկման տևողության սահմանաչափ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Maintenance duration cap</w:t>
            </w:r>
          </w:p>
        </w:tc>
        <w:tc>
          <w:tcPr>
            <w:tcW w:w="1984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Ընդամենը ամսական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Total per month</w:t>
            </w:r>
          </w:p>
        </w:tc>
        <w:tc>
          <w:tcPr>
            <w:tcW w:w="5387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≤ 8 ժամ/ամիս պլանային սպասարկում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≤ 8 hours/month planned maintenance</w:t>
            </w:r>
          </w:p>
        </w:tc>
        <w:tc>
          <w:tcPr>
            <w:tcW w:w="368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Ամսական SLA/գործառնությունների հաշվետվություն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Monthly SLA/operations report</w:t>
            </w:r>
          </w:p>
        </w:tc>
      </w:tr>
      <w:tr w:rsidR="0041596C" w:rsidRPr="00937E2C" w:rsidTr="00B70ED9">
        <w:trPr>
          <w:cantSplit/>
        </w:trPr>
        <w:tc>
          <w:tcPr>
            <w:tcW w:w="2093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Լատենտություն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Latency</w:t>
            </w:r>
          </w:p>
        </w:tc>
        <w:tc>
          <w:tcPr>
            <w:tcW w:w="283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Միակողմանի լատենտություն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One-way latency</w:t>
            </w:r>
          </w:p>
        </w:tc>
        <w:tc>
          <w:tcPr>
            <w:tcW w:w="1984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95-րդ տոկոսայնություն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95th percentile</w:t>
            </w:r>
          </w:p>
        </w:tc>
        <w:tc>
          <w:tcPr>
            <w:tcW w:w="5387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≤ 10 մվ (գրասենյակ </w:t>
            </w:r>
            <w:r w:rsidRPr="00A01B80">
              <w:rPr>
                <w:rFonts w:ascii="Tahoma" w:hAnsi="Tahoma" w:cs="Tahoma"/>
                <w:noProof/>
                <w:sz w:val="13"/>
                <w:szCs w:val="13"/>
                <w:lang w:val="hy-AM"/>
              </w:rPr>
              <w:t>↔</w:t>
            </w: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 CSP)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 xml:space="preserve">≤ 10 ms (office </w:t>
            </w:r>
            <w:r w:rsidRPr="00A01B80">
              <w:rPr>
                <w:rFonts w:ascii="Tahoma" w:hAnsi="Tahoma" w:cs="Tahoma"/>
                <w:noProof/>
                <w:color w:val="BFBFBF"/>
                <w:sz w:val="13"/>
                <w:szCs w:val="13"/>
                <w:lang w:val="hy-AM"/>
              </w:rPr>
              <w:t>↔</w:t>
            </w: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 xml:space="preserve"> CSP)</w:t>
            </w:r>
          </w:p>
        </w:tc>
        <w:tc>
          <w:tcPr>
            <w:tcW w:w="368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Ակտիվ նմուշառումներ (օրինակ՝ TWAMP/ICMP/UDP) ամսական հաշվետվությամբ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Active probes (e.g. TWAMP/ICMP/UDP) with monthly report</w:t>
            </w:r>
          </w:p>
        </w:tc>
      </w:tr>
      <w:tr w:rsidR="0041596C" w:rsidRPr="00937E2C" w:rsidTr="00B70ED9">
        <w:trPr>
          <w:cantSplit/>
        </w:trPr>
        <w:tc>
          <w:tcPr>
            <w:tcW w:w="2093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Դողդողում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Jitter</w:t>
            </w:r>
          </w:p>
        </w:tc>
        <w:tc>
          <w:tcPr>
            <w:tcW w:w="283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Փաթեթի ուշացման տատանում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Packet delay variation</w:t>
            </w:r>
          </w:p>
        </w:tc>
        <w:tc>
          <w:tcPr>
            <w:tcW w:w="1984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95-րդ տոկոսայնություն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95th percentile</w:t>
            </w:r>
          </w:p>
        </w:tc>
        <w:tc>
          <w:tcPr>
            <w:tcW w:w="5387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≤ 5 մվ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≤ 5 ms</w:t>
            </w:r>
          </w:p>
        </w:tc>
        <w:tc>
          <w:tcPr>
            <w:tcW w:w="368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Նույն նմուշառումները։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տատանման մասին հաղորդվում է ամսական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t>Same probes;</w:t>
            </w:r>
            <w:r w:rsidRPr="00A01B80">
              <w:rPr>
                <w:rFonts w:ascii="GHEA Grapalat" w:hAnsi="GHEA Grapalat" w:cs="Tahoma"/>
                <w:noProof/>
                <w:color w:val="BFBFBF"/>
                <w:sz w:val="16"/>
                <w:szCs w:val="16"/>
                <w:lang w:val="hy-AM"/>
              </w:rPr>
              <w:br/>
              <w:t>jitter reported monthly</w:t>
            </w:r>
          </w:p>
        </w:tc>
      </w:tr>
      <w:tr w:rsidR="0041596C" w:rsidRPr="0041596C" w:rsidTr="00B70ED9">
        <w:trPr>
          <w:cantSplit/>
        </w:trPr>
        <w:tc>
          <w:tcPr>
            <w:tcW w:w="2093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lastRenderedPageBreak/>
              <w:t>Փաթեթների կորուստ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Packet Loss</w:t>
            </w:r>
          </w:p>
        </w:tc>
        <w:tc>
          <w:tcPr>
            <w:tcW w:w="283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Փաթեթների միջին կորուստ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Average packet loss</w:t>
            </w:r>
          </w:p>
        </w:tc>
        <w:tc>
          <w:tcPr>
            <w:tcW w:w="1984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Միջին ամսական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Monthly average</w:t>
            </w:r>
          </w:p>
        </w:tc>
        <w:tc>
          <w:tcPr>
            <w:tcW w:w="5387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≤ 0.1% (բացառությամբ անջատումների և սպասարկման)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≤ 0.1% (excluding outages &amp; maintenance)</w:t>
            </w:r>
          </w:p>
        </w:tc>
        <w:tc>
          <w:tcPr>
            <w:tcW w:w="368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Զոնդավորման վիճակագրություն։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SLA հաշվետվություն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Probe statistics;</w:t>
            </w: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br/>
              <w:t>SLA report</w:t>
            </w:r>
          </w:p>
        </w:tc>
      </w:tr>
      <w:tr w:rsidR="0041596C" w:rsidRPr="00937E2C" w:rsidTr="00B70ED9">
        <w:trPr>
          <w:cantSplit/>
        </w:trPr>
        <w:tc>
          <w:tcPr>
            <w:tcW w:w="2093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Արտադրողականություն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Throughput</w:t>
            </w:r>
          </w:p>
        </w:tc>
        <w:tc>
          <w:tcPr>
            <w:tcW w:w="283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Օգտագործելի IP թողունակություն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Usable IP throughput</w:t>
            </w:r>
          </w:p>
        </w:tc>
        <w:tc>
          <w:tcPr>
            <w:tcW w:w="1984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Goodput-ը ընդդեմ CIR-ի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Goodput vs CIR</w:t>
            </w:r>
          </w:p>
        </w:tc>
        <w:tc>
          <w:tcPr>
            <w:tcW w:w="5387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CIR-ի ≥ 90%-ը (օրինակ՝ ≥ 90 Մբիթ/վրկ IP ծանրաբեռնվածություն՝ 100 Մբիթ/վրկ ծառայության համար)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≥ 90% of CIR (e.g. ≥ 90 Mbit/s IP payload for 100 Mbit/s service)</w:t>
            </w:r>
          </w:p>
        </w:tc>
        <w:tc>
          <w:tcPr>
            <w:tcW w:w="368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Վերահսկվող թեստ (TCP/UDP թողունակություն) ընդունման ընթացքում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Controlled test (TCP/UDP throughput) during acceptance</w:t>
            </w:r>
          </w:p>
        </w:tc>
      </w:tr>
      <w:tr w:rsidR="0041596C" w:rsidRPr="00937E2C" w:rsidTr="00B70ED9">
        <w:trPr>
          <w:cantSplit/>
        </w:trPr>
        <w:tc>
          <w:tcPr>
            <w:tcW w:w="2093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Աջակցություն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Support</w:t>
            </w:r>
          </w:p>
        </w:tc>
        <w:tc>
          <w:tcPr>
            <w:tcW w:w="283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Խափանման արձագանքման ժամանակը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Fault response time</w:t>
            </w:r>
          </w:p>
        </w:tc>
        <w:tc>
          <w:tcPr>
            <w:tcW w:w="1984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Պատասխան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Response</w:t>
            </w:r>
          </w:p>
        </w:tc>
        <w:tc>
          <w:tcPr>
            <w:tcW w:w="5387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Հայտնաբերումից կամ տոմսի բացումից ≤ 15 րոպե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≤ 15 minutes from detection or ticket opening</w:t>
            </w:r>
          </w:p>
        </w:tc>
        <w:tc>
          <w:tcPr>
            <w:tcW w:w="368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NOC տոմսերի ժամանակային նշաններն ընդդեմ SLA-ի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NOC ticket timestamps vs SLA</w:t>
            </w:r>
          </w:p>
        </w:tc>
      </w:tr>
      <w:tr w:rsidR="0041596C" w:rsidRPr="0041596C" w:rsidTr="00B70ED9">
        <w:trPr>
          <w:cantSplit/>
        </w:trPr>
        <w:tc>
          <w:tcPr>
            <w:tcW w:w="2093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Աջակցություն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Support</w:t>
            </w:r>
          </w:p>
        </w:tc>
        <w:tc>
          <w:tcPr>
            <w:tcW w:w="283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Վերականգնման ժամանակահատվածը՝ կրիտիկական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Restoration time – critical</w:t>
            </w:r>
          </w:p>
        </w:tc>
        <w:tc>
          <w:tcPr>
            <w:tcW w:w="1984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Խափանումների վերականգնում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Outage restoration</w:t>
            </w:r>
          </w:p>
        </w:tc>
        <w:tc>
          <w:tcPr>
            <w:tcW w:w="5387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≤ 4 ժամ աշխատանքային ժամերի ընթացքում լրիվ անջատման / լուրջ վատթարացման դեպքում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≤ 4 hours for total outage / severe degradation during business hours</w:t>
            </w:r>
          </w:p>
        </w:tc>
        <w:tc>
          <w:tcPr>
            <w:tcW w:w="368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Տոմսերի պատմություն։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միջադեպից հետո հաշվետվություններ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Ticket history;</w:t>
            </w: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br/>
              <w:t>post-incident reports</w:t>
            </w:r>
          </w:p>
        </w:tc>
      </w:tr>
      <w:tr w:rsidR="0041596C" w:rsidRPr="0041596C" w:rsidTr="00B70ED9">
        <w:trPr>
          <w:cantSplit/>
        </w:trPr>
        <w:tc>
          <w:tcPr>
            <w:tcW w:w="2093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Աջակցություն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Support</w:t>
            </w:r>
          </w:p>
        </w:tc>
        <w:tc>
          <w:tcPr>
            <w:tcW w:w="283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Վերականգնման ժամանակը - զգալի վատացում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Restoration time – major degradation</w:t>
            </w:r>
          </w:p>
        </w:tc>
        <w:tc>
          <w:tcPr>
            <w:tcW w:w="1984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Դեգրադացիայի լուծում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Degradation fix</w:t>
            </w:r>
          </w:p>
        </w:tc>
        <w:tc>
          <w:tcPr>
            <w:tcW w:w="5387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≤ 8 ժամ SLA-ի խախտման դեպքում՝ առանց լրիվ անջատման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≤ 8 hours for SLA breach without full outage</w:t>
            </w:r>
          </w:p>
        </w:tc>
        <w:tc>
          <w:tcPr>
            <w:tcW w:w="368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Տոմսերի պատմություն։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հաշվետվություններ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Ticket history;</w:t>
            </w: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br/>
              <w:t>reports</w:t>
            </w:r>
          </w:p>
        </w:tc>
      </w:tr>
      <w:tr w:rsidR="0041596C" w:rsidRPr="00937E2C" w:rsidTr="00B70ED9">
        <w:trPr>
          <w:cantSplit/>
        </w:trPr>
        <w:tc>
          <w:tcPr>
            <w:tcW w:w="2093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Ծառայության որակը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QoS</w:t>
            </w:r>
          </w:p>
        </w:tc>
        <w:tc>
          <w:tcPr>
            <w:tcW w:w="283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DSCP թափանցիկություն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DSCP transparency</w:t>
            </w:r>
          </w:p>
        </w:tc>
        <w:tc>
          <w:tcPr>
            <w:tcW w:w="1984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DSCP-ի մշակում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DSCP handling</w:t>
            </w:r>
          </w:p>
        </w:tc>
        <w:tc>
          <w:tcPr>
            <w:tcW w:w="5387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Պահպանել DiffServ / DSCP նշումները։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Առանց լռելյայն նշումների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Preserve DiffServ / DSCP markings;</w:t>
            </w: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br/>
              <w:t>no default remarking</w:t>
            </w:r>
          </w:p>
        </w:tc>
        <w:tc>
          <w:tcPr>
            <w:tcW w:w="368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Փաթեթների գրավում երկու ծայրերում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Packet capture at both ends</w:t>
            </w:r>
          </w:p>
        </w:tc>
      </w:tr>
      <w:tr w:rsidR="0041596C" w:rsidRPr="0041596C" w:rsidTr="00B70ED9">
        <w:trPr>
          <w:cantSplit/>
        </w:trPr>
        <w:tc>
          <w:tcPr>
            <w:tcW w:w="2093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Ծառայության որակը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QoS</w:t>
            </w:r>
          </w:p>
        </w:tc>
        <w:tc>
          <w:tcPr>
            <w:tcW w:w="283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802.1p թափանցիկություն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802.1p transparency</w:t>
            </w:r>
          </w:p>
        </w:tc>
        <w:tc>
          <w:tcPr>
            <w:tcW w:w="1984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CoS բիթեր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CoS bits</w:t>
            </w:r>
          </w:p>
        </w:tc>
        <w:tc>
          <w:tcPr>
            <w:tcW w:w="5387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Պահպանել 802.1p CoS բիթերը պիտակավորված կադրերում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Preserve 802.1p CoS bits in tagged frames</w:t>
            </w:r>
          </w:p>
        </w:tc>
        <w:tc>
          <w:tcPr>
            <w:tcW w:w="368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Ստեղծել / փոխել վիճակագրությունը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Capture / switch stats</w:t>
            </w:r>
          </w:p>
        </w:tc>
      </w:tr>
      <w:tr w:rsidR="0041596C" w:rsidRPr="00937E2C" w:rsidTr="00B70ED9">
        <w:trPr>
          <w:cantSplit/>
        </w:trPr>
        <w:tc>
          <w:tcPr>
            <w:tcW w:w="2093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Ծառայության որակը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QoS</w:t>
            </w:r>
          </w:p>
        </w:tc>
        <w:tc>
          <w:tcPr>
            <w:tcW w:w="283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CIR-ից ցածր գերբաժանորդագրության բացառում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No oversubscription below CIR</w:t>
            </w:r>
          </w:p>
        </w:tc>
        <w:tc>
          <w:tcPr>
            <w:tcW w:w="1984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Խցանում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Congestion</w:t>
            </w:r>
          </w:p>
        </w:tc>
        <w:tc>
          <w:tcPr>
            <w:tcW w:w="5387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մատակարարի գերբեռնվածության պատճառով մինչև CIR անկումների բացառում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No provider congestion-induced drops up to CIR</w:t>
            </w:r>
          </w:p>
        </w:tc>
        <w:tc>
          <w:tcPr>
            <w:tcW w:w="368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Սթրես թեստ՝ տրաֆիկի գեներատորով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Stress test with traffic generator</w:t>
            </w:r>
          </w:p>
        </w:tc>
      </w:tr>
      <w:tr w:rsidR="0041596C" w:rsidRPr="00937E2C" w:rsidTr="00B70ED9">
        <w:trPr>
          <w:cantSplit/>
        </w:trPr>
        <w:tc>
          <w:tcPr>
            <w:tcW w:w="2093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Մատակարարի մոնիթորինգ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Provider Monitoring</w:t>
            </w:r>
          </w:p>
        </w:tc>
        <w:tc>
          <w:tcPr>
            <w:tcW w:w="283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24/7 մոնիթորինգ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24×7 monitoring</w:t>
            </w:r>
          </w:p>
        </w:tc>
        <w:tc>
          <w:tcPr>
            <w:tcW w:w="1984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NOC ծածկույթ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NOC coverage</w:t>
            </w:r>
          </w:p>
        </w:tc>
        <w:tc>
          <w:tcPr>
            <w:tcW w:w="5387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Միացման վիճակի և չափանիշների 24/7 մոնիթորինգ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24×7 monitoring of link state and metrics</w:t>
            </w:r>
          </w:p>
        </w:tc>
        <w:tc>
          <w:tcPr>
            <w:tcW w:w="368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Մատակարարի NOC նկարագրությունը։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ISO/ITIL փաստաթղթեր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Provider NOC description;</w:t>
            </w: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br/>
              <w:t>ISO/ITIL docs</w:t>
            </w:r>
          </w:p>
        </w:tc>
      </w:tr>
      <w:tr w:rsidR="0041596C" w:rsidRPr="0041596C" w:rsidTr="00B70ED9">
        <w:trPr>
          <w:cantSplit/>
        </w:trPr>
        <w:tc>
          <w:tcPr>
            <w:tcW w:w="2093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Մատակարարի մոնիթորինգ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Provider Monitoring</w:t>
            </w:r>
          </w:p>
        </w:tc>
        <w:tc>
          <w:tcPr>
            <w:tcW w:w="283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Զոնդավորման հաճախականությունը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Probing frequency</w:t>
            </w:r>
          </w:p>
        </w:tc>
        <w:tc>
          <w:tcPr>
            <w:tcW w:w="1984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Զոնդավորման միջակայքը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Probe interval</w:t>
            </w:r>
          </w:p>
        </w:tc>
        <w:tc>
          <w:tcPr>
            <w:tcW w:w="5387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≥ 1 նմուշառում/վրկ՝ հասանելիության/կորստի/լատենտության/թրթռման համար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≥ 1 probe/sec for availability/loss/latency/jitter</w:t>
            </w:r>
          </w:p>
        </w:tc>
        <w:tc>
          <w:tcPr>
            <w:tcW w:w="368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Մոնիթորինգի նախագծում;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գործիքի կոնֆիգուրացիա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Monitoring design;</w:t>
            </w: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br/>
              <w:t>tool configuration</w:t>
            </w:r>
          </w:p>
        </w:tc>
      </w:tr>
      <w:tr w:rsidR="0041596C" w:rsidRPr="0041596C" w:rsidTr="00B70ED9">
        <w:trPr>
          <w:cantSplit/>
        </w:trPr>
        <w:tc>
          <w:tcPr>
            <w:tcW w:w="2093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Մատակարարի մոնիթորինգ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Provider Monitoring</w:t>
            </w:r>
          </w:p>
        </w:tc>
        <w:tc>
          <w:tcPr>
            <w:tcW w:w="283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տագնապի շեմեր՝ կորուստ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Alarm thresholds – loss</w:t>
            </w:r>
          </w:p>
        </w:tc>
        <w:tc>
          <w:tcPr>
            <w:tcW w:w="1984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Կորստի տրիգեր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Loss trigger</w:t>
            </w:r>
          </w:p>
        </w:tc>
        <w:tc>
          <w:tcPr>
            <w:tcW w:w="5387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տագնապ, եթե կորուստը &gt; 1% է &gt; 5 անընդմեջ րոպեների ընթացքում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Alarm if loss &gt; 1% for &gt; 5 consecutive minutes</w:t>
            </w:r>
          </w:p>
        </w:tc>
        <w:tc>
          <w:tcPr>
            <w:tcW w:w="368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NOC տագնապի կարգավորում։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տագնապի նմուշներ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NOC alarm config;</w:t>
            </w: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br/>
              <w:t>sample alarms</w:t>
            </w:r>
          </w:p>
        </w:tc>
      </w:tr>
      <w:tr w:rsidR="0041596C" w:rsidRPr="00937E2C" w:rsidTr="00B70ED9">
        <w:trPr>
          <w:cantSplit/>
        </w:trPr>
        <w:tc>
          <w:tcPr>
            <w:tcW w:w="2093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lastRenderedPageBreak/>
              <w:t>Մատակարարի մոնիթորինգ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Provider Monitoring</w:t>
            </w:r>
          </w:p>
        </w:tc>
        <w:tc>
          <w:tcPr>
            <w:tcW w:w="283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տագնապի շեմեր՝ լատենտություն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Alarm thresholds – latency</w:t>
            </w:r>
          </w:p>
        </w:tc>
        <w:tc>
          <w:tcPr>
            <w:tcW w:w="1984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Լատենտության տրիգեր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Latency trigger</w:t>
            </w:r>
          </w:p>
        </w:tc>
        <w:tc>
          <w:tcPr>
            <w:tcW w:w="5387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տագնապ, եթե լատենտությունը &gt; 2× SLA (օրինակ՝ &gt; 20 մվ) &gt; 5 րոպեի ընթացքում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Alarm if latency &gt; 2× SLA (e.g. &gt; 20 ms) for &gt; 5 min</w:t>
            </w:r>
          </w:p>
        </w:tc>
        <w:tc>
          <w:tcPr>
            <w:tcW w:w="368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Նույնը, ինչ վերևում է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Same as above</w:t>
            </w:r>
          </w:p>
        </w:tc>
      </w:tr>
      <w:tr w:rsidR="0041596C" w:rsidRPr="00937E2C" w:rsidTr="00B70ED9">
        <w:trPr>
          <w:cantSplit/>
        </w:trPr>
        <w:tc>
          <w:tcPr>
            <w:tcW w:w="2093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Մատակարարի մոնիթորինգ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Provider Monitoring</w:t>
            </w:r>
          </w:p>
        </w:tc>
        <w:tc>
          <w:tcPr>
            <w:tcW w:w="283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տագնապի շեմեր՝ թրթռում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Alarm thresholds – jitter</w:t>
            </w:r>
          </w:p>
        </w:tc>
        <w:tc>
          <w:tcPr>
            <w:tcW w:w="1984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Թրթռոցի տրիգեր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Jitter trigger</w:t>
            </w:r>
          </w:p>
        </w:tc>
        <w:tc>
          <w:tcPr>
            <w:tcW w:w="5387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տագնապ, եթե թրթռումը &gt; 2× SLA (օրինակ՝ &gt; 10 մվ) &gt; 5 րոպեի ընթացքում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Alarm if jitter &gt; 2× SLA (e.g. &gt; 10 ms) for &gt; 5 min</w:t>
            </w:r>
          </w:p>
        </w:tc>
        <w:tc>
          <w:tcPr>
            <w:tcW w:w="368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Նույնը, ինչ վերևում է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Same as above</w:t>
            </w:r>
          </w:p>
        </w:tc>
      </w:tr>
      <w:tr w:rsidR="0041596C" w:rsidRPr="00937E2C" w:rsidTr="00B70ED9">
        <w:trPr>
          <w:cantSplit/>
        </w:trPr>
        <w:tc>
          <w:tcPr>
            <w:tcW w:w="2093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Մատակարարի պորտալ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Provider Portal</w:t>
            </w:r>
          </w:p>
        </w:tc>
        <w:tc>
          <w:tcPr>
            <w:tcW w:w="283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Հաճախորդների պորտալ / API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Customer portal / API</w:t>
            </w:r>
          </w:p>
        </w:tc>
        <w:tc>
          <w:tcPr>
            <w:tcW w:w="1984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Տեսանելիություն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Visibility</w:t>
            </w:r>
          </w:p>
        </w:tc>
        <w:tc>
          <w:tcPr>
            <w:tcW w:w="5387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Վեբ պորտալ կամ API՝ գրեթե իրական ժամանակում (≤ 5 րոպե ուշացումով) կարգավիճակով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Web portal or API with near real-time (≤ 5 min delay) status</w:t>
            </w:r>
          </w:p>
        </w:tc>
        <w:tc>
          <w:tcPr>
            <w:tcW w:w="368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Փորձարկման մուտք։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էկրանի նկարներ/API փաստաթղթեր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Test access;</w:t>
            </w: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br/>
              <w:t>screenshots/API docs</w:t>
            </w:r>
          </w:p>
        </w:tc>
      </w:tr>
      <w:tr w:rsidR="0041596C" w:rsidRPr="00937E2C" w:rsidTr="00B70ED9">
        <w:trPr>
          <w:cantSplit/>
        </w:trPr>
        <w:tc>
          <w:tcPr>
            <w:tcW w:w="2093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Մատակարարի պորտալ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Provider Portal</w:t>
            </w:r>
          </w:p>
        </w:tc>
        <w:tc>
          <w:tcPr>
            <w:tcW w:w="283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Պատմական տվյալների պահպանում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Historical data retention</w:t>
            </w:r>
          </w:p>
        </w:tc>
        <w:tc>
          <w:tcPr>
            <w:tcW w:w="1984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Պահպանման ժամկետ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Retention period</w:t>
            </w:r>
          </w:p>
        </w:tc>
        <w:tc>
          <w:tcPr>
            <w:tcW w:w="5387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≥ 365 օրվա պատմություն (օգտագործում, լատենտություն, թրթռում, կորուստ, անջատումներ)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≥ 365 days of history (utilization, latency, jitter, loss, outages)</w:t>
            </w:r>
          </w:p>
        </w:tc>
        <w:tc>
          <w:tcPr>
            <w:tcW w:w="368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SLA + պորտալի ստուգում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SLA + portal verification</w:t>
            </w:r>
          </w:p>
        </w:tc>
      </w:tr>
      <w:tr w:rsidR="0041596C" w:rsidRPr="0041596C" w:rsidTr="00B70ED9">
        <w:trPr>
          <w:cantSplit/>
        </w:trPr>
        <w:tc>
          <w:tcPr>
            <w:tcW w:w="2093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Հաշվետվություն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Reporting</w:t>
            </w:r>
          </w:p>
        </w:tc>
        <w:tc>
          <w:tcPr>
            <w:tcW w:w="283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Ամսական SLA հաշվետվություններ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Monthly SLA reports</w:t>
            </w:r>
          </w:p>
        </w:tc>
        <w:tc>
          <w:tcPr>
            <w:tcW w:w="1984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Հաշվետվության շրջանակը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Report scope</w:t>
            </w:r>
          </w:p>
        </w:tc>
        <w:tc>
          <w:tcPr>
            <w:tcW w:w="5387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Ամսական հաշվետվություն՝ մատչելիության, լատենտության, ջիթերի, կորստի, միջադեպերի, սպասարկման վերաբերյալ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Monthly report with availability, latency, jitter, loss, incidents, maintenance</w:t>
            </w:r>
          </w:p>
        </w:tc>
        <w:tc>
          <w:tcPr>
            <w:tcW w:w="368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Նմուշային հաշվետվություններ։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պայմանագրի պահանջ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Sample reports;</w:t>
            </w: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br/>
              <w:t>contract requirement</w:t>
            </w:r>
          </w:p>
        </w:tc>
      </w:tr>
      <w:tr w:rsidR="0041596C" w:rsidRPr="0041596C" w:rsidTr="00B70ED9">
        <w:trPr>
          <w:cantSplit/>
        </w:trPr>
        <w:tc>
          <w:tcPr>
            <w:tcW w:w="2093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Հաճախորդների մոնիթորինգ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Customer Monitoring</w:t>
            </w:r>
          </w:p>
        </w:tc>
        <w:tc>
          <w:tcPr>
            <w:tcW w:w="283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Ակտիվ զոնդերը թույլատրված են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Active probes allowed</w:t>
            </w:r>
          </w:p>
        </w:tc>
        <w:tc>
          <w:tcPr>
            <w:tcW w:w="1984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Զոնդային տրաֆիկ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Probe traffic</w:t>
            </w:r>
          </w:p>
        </w:tc>
        <w:tc>
          <w:tcPr>
            <w:tcW w:w="5387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Հաճախորդը կարող է գործարկել ICMP/UDP/TWAMP զոնդերը առանց արգելափակման (բավարար ծավալի սահմաններում):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Customer may run ICMP/UDP/TWAMP probes without blocking (within reasonable volume)</w:t>
            </w:r>
          </w:p>
        </w:tc>
        <w:tc>
          <w:tcPr>
            <w:tcW w:w="368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պայմանագրի կետ;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իրական զոնդային փորձարկումներ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Contract clause;</w:t>
            </w: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br/>
              <w:t>real probe tests</w:t>
            </w:r>
          </w:p>
        </w:tc>
      </w:tr>
      <w:tr w:rsidR="0041596C" w:rsidRPr="0041596C" w:rsidTr="00B70ED9">
        <w:trPr>
          <w:cantSplit/>
        </w:trPr>
        <w:tc>
          <w:tcPr>
            <w:tcW w:w="2093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Հաճախորդների մոնիթորինգ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Customer Monitoring</w:t>
            </w:r>
          </w:p>
        </w:tc>
        <w:tc>
          <w:tcPr>
            <w:tcW w:w="283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CPE հեռաչափում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CPE telemetry</w:t>
            </w:r>
          </w:p>
        </w:tc>
        <w:tc>
          <w:tcPr>
            <w:tcW w:w="1984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Վիճակագրության փոխանակում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Stats sharing</w:t>
            </w:r>
          </w:p>
        </w:tc>
        <w:tc>
          <w:tcPr>
            <w:tcW w:w="5387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Եթե մատակարարի CPE-ն օգտագործվում է որպես դեմարկ, SNMPv3 կամ հեռաչափման մուտք դեպի հիմնական ինտերֆեյսի վիճակագրություն: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If provider CPE is used as demarc, SNMPv3 or telemetry access to basic interface stats</w:t>
            </w:r>
          </w:p>
        </w:tc>
        <w:tc>
          <w:tcPr>
            <w:tcW w:w="368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SNMP/հեռաչափման կարգավորման թեստ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SNMP/telemetry config test</w:t>
            </w:r>
          </w:p>
        </w:tc>
      </w:tr>
      <w:tr w:rsidR="0041596C" w:rsidRPr="00937E2C" w:rsidTr="00B70ED9">
        <w:trPr>
          <w:cantSplit/>
        </w:trPr>
        <w:tc>
          <w:tcPr>
            <w:tcW w:w="2093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Հաճախորդների մոնիթորինգ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Customer Monitoring</w:t>
            </w:r>
          </w:p>
        </w:tc>
        <w:tc>
          <w:tcPr>
            <w:tcW w:w="283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Օգտագործման մասին զգուշացում - նախազգուշացում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Utilization alert – warning</w:t>
            </w:r>
          </w:p>
        </w:tc>
        <w:tc>
          <w:tcPr>
            <w:tcW w:w="1984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Շեմային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Threshold</w:t>
            </w:r>
          </w:p>
        </w:tc>
        <w:tc>
          <w:tcPr>
            <w:tcW w:w="5387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Զգուշացում, եթե &gt; 70% CIR &gt; 10 րոպեի ընթացքում: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Alert if &gt; 70% CIR for &gt; 10 minutes</w:t>
            </w:r>
          </w:p>
        </w:tc>
        <w:tc>
          <w:tcPr>
            <w:tcW w:w="368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NMS ահազանգի կարգավորում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NMS alert configuration</w:t>
            </w:r>
          </w:p>
        </w:tc>
      </w:tr>
      <w:tr w:rsidR="0041596C" w:rsidRPr="00937E2C" w:rsidTr="00B70ED9">
        <w:trPr>
          <w:cantSplit/>
        </w:trPr>
        <w:tc>
          <w:tcPr>
            <w:tcW w:w="2093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Հաճախորդների մոնիթորինգ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Customer Monitoring</w:t>
            </w:r>
          </w:p>
        </w:tc>
        <w:tc>
          <w:tcPr>
            <w:tcW w:w="283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Օգտագործման մասին զգուշացում - կարևոր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Utilization alert – critical</w:t>
            </w:r>
          </w:p>
        </w:tc>
        <w:tc>
          <w:tcPr>
            <w:tcW w:w="1984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Շեմային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Threshold</w:t>
            </w:r>
          </w:p>
        </w:tc>
        <w:tc>
          <w:tcPr>
            <w:tcW w:w="5387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Զգուշացում, եթե &gt; 90% CIR &gt; 5 րոպեի ընթացքում: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Alert if &gt; 90% CIR for &gt; 5 minutes</w:t>
            </w:r>
          </w:p>
        </w:tc>
        <w:tc>
          <w:tcPr>
            <w:tcW w:w="368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NMS ահազանգի կարգավորում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NMS alert configuration</w:t>
            </w:r>
          </w:p>
        </w:tc>
      </w:tr>
      <w:tr w:rsidR="0041596C" w:rsidRPr="0041596C" w:rsidTr="00B70ED9">
        <w:trPr>
          <w:cantSplit/>
        </w:trPr>
        <w:tc>
          <w:tcPr>
            <w:tcW w:w="2093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Հաճախորդների մոնիթորինգ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Customer Monitoring</w:t>
            </w:r>
          </w:p>
        </w:tc>
        <w:tc>
          <w:tcPr>
            <w:tcW w:w="283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Որակի մասին զգուշացումներ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Quality alerts</w:t>
            </w:r>
          </w:p>
        </w:tc>
        <w:tc>
          <w:tcPr>
            <w:tcW w:w="1984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Շեմային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Thresholds</w:t>
            </w:r>
          </w:p>
        </w:tc>
        <w:tc>
          <w:tcPr>
            <w:tcW w:w="5387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Զգուշացում, եթե կորուստ &gt; 1%, լատենտություն &gt; 10 մվ, ջիթթեր &gt; 5 մվ &gt; 5 րոպեի ընթացքում: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Alerts if loss &gt; 1%, latency &gt; 10 ms, jitter &gt; 5 ms for &gt; 5 minutes</w:t>
            </w:r>
          </w:p>
        </w:tc>
        <w:tc>
          <w:tcPr>
            <w:tcW w:w="368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NMS կարգավորում;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փորձարկման իրադարձություններ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NMS configuration;</w:t>
            </w: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br/>
              <w:t>test events</w:t>
            </w:r>
          </w:p>
        </w:tc>
      </w:tr>
      <w:tr w:rsidR="0041596C" w:rsidRPr="0041596C" w:rsidTr="00B70ED9">
        <w:trPr>
          <w:cantSplit/>
        </w:trPr>
        <w:tc>
          <w:tcPr>
            <w:tcW w:w="2093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Սահմանազատում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Demarcation</w:t>
            </w:r>
          </w:p>
        </w:tc>
        <w:tc>
          <w:tcPr>
            <w:tcW w:w="283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Դեմարկի սահմանում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Demarc definition</w:t>
            </w:r>
          </w:p>
        </w:tc>
        <w:tc>
          <w:tcPr>
            <w:tcW w:w="1984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Դեմարկային կետեր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Demarc points</w:t>
            </w:r>
          </w:p>
        </w:tc>
        <w:tc>
          <w:tcPr>
            <w:tcW w:w="5387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Մաքրել A-end և B-end դեմարկը (NID/switch ports) պայմանագրում և RFS փաստաթղթերում: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Clear A-end and B-end demarc (NID/switch ports) in contract and RFS docs</w:t>
            </w:r>
          </w:p>
        </w:tc>
        <w:tc>
          <w:tcPr>
            <w:tcW w:w="368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Հանձնման փաստաթուղթ;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տեղում պիտակավորում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Handover document;</w:t>
            </w: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br/>
              <w:t>labeling onsite</w:t>
            </w:r>
          </w:p>
        </w:tc>
      </w:tr>
      <w:tr w:rsidR="0041596C" w:rsidRPr="0041596C" w:rsidTr="00B70ED9">
        <w:trPr>
          <w:cantSplit/>
        </w:trPr>
        <w:tc>
          <w:tcPr>
            <w:tcW w:w="2093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lastRenderedPageBreak/>
              <w:t>Սահմանազատում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Demarcation</w:t>
            </w:r>
          </w:p>
        </w:tc>
        <w:tc>
          <w:tcPr>
            <w:tcW w:w="283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Հանձնման ինտերֆեյս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Handover interface</w:t>
            </w:r>
          </w:p>
        </w:tc>
        <w:tc>
          <w:tcPr>
            <w:tcW w:w="1984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Ֆիզիկական ինտերֆեյս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Physical interface</w:t>
            </w:r>
          </w:p>
        </w:tc>
        <w:tc>
          <w:tcPr>
            <w:tcW w:w="5387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Էլեկտրական կամ օպտիկական Ethernet (օրինակ՝ 1000BASE-T կամ 1000BASE-SX/LX, կամ ավելի բարձր):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Electrical or optical Ethernet (e.g. 1000BASE-T or 1000BASE-SX/LX, or higher)</w:t>
            </w:r>
          </w:p>
        </w:tc>
        <w:tc>
          <w:tcPr>
            <w:tcW w:w="368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Հանձնման տեխնիկական բնութագրեր;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տեղում փորձարկում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Handover specs;</w:t>
            </w: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br/>
              <w:t>onsite test</w:t>
            </w:r>
          </w:p>
        </w:tc>
      </w:tr>
      <w:tr w:rsidR="0041596C" w:rsidRPr="00937E2C" w:rsidTr="00B70ED9">
        <w:trPr>
          <w:cantSplit/>
        </w:trPr>
        <w:tc>
          <w:tcPr>
            <w:tcW w:w="2093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Սահմանազատում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Demarcation</w:t>
            </w:r>
          </w:p>
        </w:tc>
        <w:tc>
          <w:tcPr>
            <w:tcW w:w="283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Օպտիկայի պատասխանատվություն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Optics responsibility</w:t>
            </w:r>
          </w:p>
        </w:tc>
        <w:tc>
          <w:tcPr>
            <w:tcW w:w="1984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SFP/SFP+</w:t>
            </w:r>
          </w:p>
        </w:tc>
        <w:tc>
          <w:tcPr>
            <w:tcW w:w="5387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Մատակարարը մատակարարում է անհրաժեշտ SFP/SFP+ կամ մեդիա փոխարկիչներ, եթե այլ կերպ չի համաձայնեցվել: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Provider supplies necessary SFP/SFP+ or media converters unless otherwise agreed</w:t>
            </w:r>
          </w:p>
        </w:tc>
        <w:tc>
          <w:tcPr>
            <w:tcW w:w="368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BoM + ֆիզիկական ստուգում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BoM + physical inspection</w:t>
            </w:r>
          </w:p>
        </w:tc>
      </w:tr>
      <w:tr w:rsidR="0041596C" w:rsidRPr="00937E2C" w:rsidTr="00B70ED9">
        <w:trPr>
          <w:cantSplit/>
        </w:trPr>
        <w:tc>
          <w:tcPr>
            <w:tcW w:w="2093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Անվտանգություն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Security</w:t>
            </w:r>
          </w:p>
        </w:tc>
        <w:tc>
          <w:tcPr>
            <w:tcW w:w="283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Տրամաբանական մեկուսացում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Logical isolation</w:t>
            </w:r>
          </w:p>
        </w:tc>
        <w:tc>
          <w:tcPr>
            <w:tcW w:w="1984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VPN/օրինակ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VPN / instance</w:t>
            </w:r>
          </w:p>
        </w:tc>
        <w:tc>
          <w:tcPr>
            <w:tcW w:w="5387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Երթևեկությունը իրականացվում է նվիրված MPLS VPN / EVPN / VPLS կամ համարժեք մեկուսացված օրինակով: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Traffic carried in dedicated MPLS VPN / EVPN / VPLS or equivalent isolated instance</w:t>
            </w:r>
          </w:p>
        </w:tc>
        <w:tc>
          <w:tcPr>
            <w:tcW w:w="368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Մատակարարի դիզայն;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կարգավորման ապացույց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Provider design;</w:t>
            </w: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br/>
              <w:t>configuration proof</w:t>
            </w:r>
          </w:p>
        </w:tc>
      </w:tr>
      <w:tr w:rsidR="0041596C" w:rsidRPr="0041596C" w:rsidTr="00B70ED9">
        <w:trPr>
          <w:cantSplit/>
        </w:trPr>
        <w:tc>
          <w:tcPr>
            <w:tcW w:w="2093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Անվտանգություն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Security</w:t>
            </w:r>
          </w:p>
        </w:tc>
        <w:tc>
          <w:tcPr>
            <w:tcW w:w="283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Բեռի գաղտնիություն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Privacy of payload</w:t>
            </w:r>
          </w:p>
        </w:tc>
        <w:tc>
          <w:tcPr>
            <w:tcW w:w="1984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Բեռի մշակում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Payload handling</w:t>
            </w:r>
          </w:p>
        </w:tc>
        <w:tc>
          <w:tcPr>
            <w:tcW w:w="5387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Մատակարարը չպետք է արտացոլի կամ ստուգի ծանրաբեռնվածությունը, բացառությամբ DDoS պաշտպանության կամ խնդրի լուծման դեպքում պահանջի դեպքում: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Provider shall not mirror or inspect payload except for DDoS protection or troubleshooting on request</w:t>
            </w:r>
          </w:p>
        </w:tc>
        <w:tc>
          <w:tcPr>
            <w:tcW w:w="368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Պայմանագրի լեզու;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գործընթացի փաստաթղթեր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Contract language;</w:t>
            </w: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br/>
              <w:t>process docs</w:t>
            </w:r>
          </w:p>
        </w:tc>
      </w:tr>
      <w:tr w:rsidR="0041596C" w:rsidRPr="0041596C" w:rsidTr="00B70ED9">
        <w:trPr>
          <w:cantSplit/>
        </w:trPr>
        <w:tc>
          <w:tcPr>
            <w:tcW w:w="2093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Անվտանգություն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Security</w:t>
            </w:r>
          </w:p>
        </w:tc>
        <w:tc>
          <w:tcPr>
            <w:tcW w:w="283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CPE-ի անվտանգ կառավարում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Secure management of CPE</w:t>
            </w:r>
          </w:p>
        </w:tc>
        <w:tc>
          <w:tcPr>
            <w:tcW w:w="1984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Կառավարման արձանագրություններ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Mgmt protocols</w:t>
            </w:r>
          </w:p>
        </w:tc>
        <w:tc>
          <w:tcPr>
            <w:tcW w:w="5387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Միայն անվտանգ արձանագրություններ (SSH, SNMPv3, HTTPS/TLS) մատակարարի դեմարկ սարքերը կառավարելու համար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Only secure protocols (SSH, SNMPv3, HTTPS/TLS) for managing provider demarc devices</w:t>
            </w:r>
          </w:p>
        </w:tc>
        <w:tc>
          <w:tcPr>
            <w:tcW w:w="3685" w:type="dxa"/>
            <w:vAlign w:val="center"/>
            <w:hideMark/>
          </w:tcPr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Կարգավորման աուդիտ;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անվտանգության քաղաքականություն</w:t>
            </w:r>
          </w:p>
          <w:p w:rsidR="0041596C" w:rsidRPr="00A01B80" w:rsidRDefault="0041596C" w:rsidP="00B70ED9">
            <w:pPr>
              <w:spacing w:after="0" w:line="240" w:lineRule="auto"/>
              <w:contextualSpacing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t>Config audit;</w:t>
            </w:r>
            <w:r w:rsidRPr="00A01B80">
              <w:rPr>
                <w:rFonts w:ascii="GHEA Grapalat" w:hAnsi="GHEA Grapalat" w:cs="Tahoma"/>
                <w:color w:val="BFBFBF"/>
                <w:sz w:val="16"/>
                <w:szCs w:val="16"/>
                <w:lang w:val="hy-AM"/>
              </w:rPr>
              <w:br/>
              <w:t>security policy</w:t>
            </w:r>
          </w:p>
        </w:tc>
      </w:tr>
    </w:tbl>
    <w:p w:rsidR="0041596C" w:rsidRDefault="0041596C" w:rsidP="0041596C">
      <w:pPr>
        <w:rPr>
          <w:rFonts w:ascii="Tahoma" w:hAnsi="Tahoma" w:cs="Tahoma"/>
          <w:noProof/>
          <w:lang w:val="hy-AM"/>
        </w:rPr>
      </w:pPr>
    </w:p>
    <w:p w:rsidR="0041596C" w:rsidRPr="006D3239" w:rsidRDefault="0041596C" w:rsidP="0041596C">
      <w:pPr>
        <w:rPr>
          <w:rFonts w:ascii="GHEA Grapalat" w:hAnsi="GHEA Grapalat" w:cs="Tahoma"/>
          <w:b/>
          <w:bCs/>
          <w:noProof/>
          <w:shd w:val="clear" w:color="auto" w:fill="FFFFFF"/>
          <w:lang w:val="hy-AM"/>
        </w:rPr>
      </w:pPr>
      <w:r w:rsidRPr="006D3239">
        <w:rPr>
          <w:rFonts w:ascii="GHEA Grapalat" w:hAnsi="GHEA Grapalat" w:cs="Tahoma"/>
          <w:b/>
          <w:bCs/>
          <w:noProof/>
          <w:shd w:val="clear" w:color="auto" w:fill="FFFFFF"/>
          <w:lang w:val="hy-AM"/>
        </w:rPr>
        <w:t>Պահուստավորման կառավարման գործիքի և միջերեսի պահանջներ</w:t>
      </w:r>
    </w:p>
    <w:p w:rsidR="0041596C" w:rsidRPr="006D3239" w:rsidRDefault="0041596C" w:rsidP="0041596C">
      <w:pPr>
        <w:ind w:firstLine="720"/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  <w:r w:rsidRPr="006D3239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Կատարողը պետք է տրամադրի գործիք/միջերես՝ պահուստավորման/վերականգնման գործողությունների, աշխատանքի կարգավիճակի մոնիթորինգի, կարգավորումների, ինչպես նաև պահուստավորման քաղաքականության մշակման և կառավարման համար։</w:t>
      </w:r>
    </w:p>
    <w:p w:rsidR="0041596C" w:rsidRPr="006D3239" w:rsidRDefault="0041596C" w:rsidP="0041596C">
      <w:pPr>
        <w:ind w:firstLine="720"/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  <w:r w:rsidRPr="006D3239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Գործիքի հատկանիշները պետք է ներառեն, բայց չսահմանափակվեն հետևյալով՝</w:t>
      </w:r>
    </w:p>
    <w:p w:rsidR="0041596C" w:rsidRPr="006D3239" w:rsidRDefault="0041596C" w:rsidP="0041596C">
      <w:pPr>
        <w:numPr>
          <w:ilvl w:val="0"/>
          <w:numId w:val="8"/>
        </w:numPr>
        <w:spacing w:after="0" w:line="240" w:lineRule="auto"/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  <w:r w:rsidRPr="006D3239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պահուստավորման կառավարման անվտանգ վեբ-միջերես, որը հասանելի է 24/7 ռեժիմով,</w:t>
      </w:r>
    </w:p>
    <w:p w:rsidR="0041596C" w:rsidRPr="006D3239" w:rsidRDefault="0041596C" w:rsidP="0041596C">
      <w:pPr>
        <w:numPr>
          <w:ilvl w:val="0"/>
          <w:numId w:val="8"/>
        </w:numPr>
        <w:spacing w:after="0" w:line="240" w:lineRule="auto"/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  <w:r w:rsidRPr="006D3239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պահուստավորման տվյալների և կառավարման միջավայրերի մեկուսացում՝ յուրաքանչյուր վարձակալի համար,</w:t>
      </w:r>
    </w:p>
    <w:p w:rsidR="0041596C" w:rsidRPr="006D3239" w:rsidRDefault="0041596C" w:rsidP="0041596C">
      <w:pPr>
        <w:numPr>
          <w:ilvl w:val="0"/>
          <w:numId w:val="8"/>
        </w:numPr>
        <w:spacing w:after="0" w:line="240" w:lineRule="auto"/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  <w:r w:rsidRPr="006D3239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պահուստավորման քաղաքականության ստեղծում և կառավարում (ժամանակացույց, պահպանման ժամկետ, և այլն),</w:t>
      </w:r>
    </w:p>
    <w:p w:rsidR="0041596C" w:rsidRPr="006D3239" w:rsidRDefault="0041596C" w:rsidP="0041596C">
      <w:pPr>
        <w:numPr>
          <w:ilvl w:val="0"/>
          <w:numId w:val="8"/>
        </w:numPr>
        <w:spacing w:after="0" w:line="240" w:lineRule="auto"/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  <w:r w:rsidRPr="006D3239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լրիվ, աստիճանական կամ տարբերություններով պայմանավորված պահուստավորման մեթոդների կիրառման հնարավորություն,</w:t>
      </w:r>
    </w:p>
    <w:p w:rsidR="0041596C" w:rsidRPr="006D3239" w:rsidRDefault="0041596C" w:rsidP="0041596C">
      <w:pPr>
        <w:numPr>
          <w:ilvl w:val="0"/>
          <w:numId w:val="8"/>
        </w:numPr>
        <w:spacing w:after="0" w:line="240" w:lineRule="auto"/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  <w:r w:rsidRPr="006D3239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պահուստավորման աշխատանքների մոնիթորինգ իրական ժամանակում և կարգավիճակի տեսանելիություն,</w:t>
      </w:r>
    </w:p>
    <w:p w:rsidR="0041596C" w:rsidRPr="006D3239" w:rsidRDefault="0041596C" w:rsidP="0041596C">
      <w:pPr>
        <w:numPr>
          <w:ilvl w:val="0"/>
          <w:numId w:val="8"/>
        </w:numPr>
        <w:spacing w:after="0" w:line="240" w:lineRule="auto"/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  <w:r w:rsidRPr="006D3239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lastRenderedPageBreak/>
        <w:t>ձախողումների, նախազգուշացումների և SLA խախտումների վերաբերյալ ահազանգերի կարգավորման հնարավորություն,</w:t>
      </w:r>
    </w:p>
    <w:p w:rsidR="0041596C" w:rsidRPr="006D3239" w:rsidRDefault="0041596C" w:rsidP="0041596C">
      <w:pPr>
        <w:numPr>
          <w:ilvl w:val="0"/>
          <w:numId w:val="8"/>
        </w:numPr>
        <w:spacing w:after="0" w:line="240" w:lineRule="auto"/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  <w:r w:rsidRPr="006D3239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վերականգնման ինքնասպասարկման հնարավորություններ (ամբողջական վիրտուալ մեքենայի մակարդակով, ֆայլի, օբյեկտի մակարդակով), ներառյալ վերականգնումը այլընտրանքային վայր, հոսթ կամ կայք,</w:t>
      </w:r>
    </w:p>
    <w:p w:rsidR="0041596C" w:rsidRPr="006D3239" w:rsidRDefault="0041596C" w:rsidP="0041596C">
      <w:pPr>
        <w:numPr>
          <w:ilvl w:val="0"/>
          <w:numId w:val="8"/>
        </w:numPr>
        <w:spacing w:after="0" w:line="240" w:lineRule="auto"/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  <w:r w:rsidRPr="006D3239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բոլոր վարչական և վերականգնման գործողությունների աուդիտի գրանցում՝ արտահանելու հնարավորությամբ,</w:t>
      </w:r>
    </w:p>
    <w:p w:rsidR="0041596C" w:rsidRPr="006D3239" w:rsidRDefault="0041596C" w:rsidP="0041596C">
      <w:pPr>
        <w:numPr>
          <w:ilvl w:val="0"/>
          <w:numId w:val="8"/>
        </w:numPr>
        <w:spacing w:after="0" w:line="240" w:lineRule="auto"/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  <w:r w:rsidRPr="006D3239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պահուստավորման օգտագործված և կանխատեսելի ծավալների մասին տեղեկատվություն,</w:t>
      </w:r>
    </w:p>
    <w:p w:rsidR="0041596C" w:rsidRPr="006D3239" w:rsidRDefault="0041596C" w:rsidP="0041596C">
      <w:pPr>
        <w:numPr>
          <w:ilvl w:val="0"/>
          <w:numId w:val="8"/>
        </w:numPr>
        <w:spacing w:after="0" w:line="240" w:lineRule="auto"/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  <w:r w:rsidRPr="006D3239"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t>օգտագործման ուղեցույց և/կամ առցանց օգնություն միջերեսի ներսում։</w:t>
      </w:r>
    </w:p>
    <w:p w:rsidR="0041596C" w:rsidRDefault="0041596C" w:rsidP="0041596C">
      <w:pPr>
        <w:spacing w:after="0" w:line="240" w:lineRule="auto"/>
        <w:ind w:firstLine="720"/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</w:p>
    <w:p w:rsidR="0041596C" w:rsidRDefault="0041596C" w:rsidP="0041596C">
      <w:pPr>
        <w:rPr>
          <w:rFonts w:ascii="GHEA Grapalat" w:hAnsi="GHEA Grapalat" w:cs="Tahoma"/>
          <w:b/>
          <w:bCs/>
          <w:noProof/>
          <w:shd w:val="clear" w:color="auto" w:fill="FFFFFF"/>
          <w:lang w:val="hy-AM"/>
        </w:rPr>
      </w:pPr>
    </w:p>
    <w:p w:rsidR="0041596C" w:rsidRPr="006D3239" w:rsidRDefault="0041596C" w:rsidP="0041596C">
      <w:pPr>
        <w:rPr>
          <w:rFonts w:ascii="GHEA Grapalat" w:hAnsi="GHEA Grapalat" w:cs="Tahoma"/>
          <w:b/>
          <w:bCs/>
          <w:noProof/>
          <w:shd w:val="clear" w:color="auto" w:fill="FFFFFF"/>
          <w:lang w:val="hy-AM"/>
        </w:rPr>
      </w:pPr>
      <w:r w:rsidRPr="006D3239">
        <w:rPr>
          <w:rFonts w:ascii="GHEA Grapalat" w:hAnsi="GHEA Grapalat" w:cs="Tahoma"/>
          <w:b/>
          <w:bCs/>
          <w:noProof/>
          <w:shd w:val="clear" w:color="auto" w:fill="FFFFFF"/>
          <w:lang w:val="hy-AM"/>
        </w:rPr>
        <w:t>Տվյալների մշակման կենտրոնի</w:t>
      </w:r>
      <w:r>
        <w:rPr>
          <w:rFonts w:ascii="GHEA Grapalat" w:hAnsi="GHEA Grapalat" w:cs="Tahoma"/>
          <w:b/>
          <w:bCs/>
          <w:noProof/>
          <w:shd w:val="clear" w:color="auto" w:fill="FFFFFF"/>
          <w:lang w:val="hy-AM"/>
        </w:rPr>
        <w:t xml:space="preserve"> </w:t>
      </w:r>
      <w:r w:rsidRPr="006D3239">
        <w:rPr>
          <w:rFonts w:ascii="GHEA Grapalat" w:hAnsi="GHEA Grapalat" w:cs="Tahoma"/>
          <w:b/>
          <w:bCs/>
          <w:noProof/>
          <w:shd w:val="clear" w:color="auto" w:fill="FFFFFF"/>
          <w:lang w:val="hy-AM"/>
        </w:rPr>
        <w:t>(ՏՄԿ) նկատմամբ պահանջներ՝</w:t>
      </w:r>
    </w:p>
    <w:p w:rsidR="0041596C" w:rsidRPr="006D3239" w:rsidRDefault="0041596C" w:rsidP="0041596C">
      <w:pPr>
        <w:ind w:firstLine="720"/>
        <w:jc w:val="both"/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</w:pPr>
      <w:r w:rsidRPr="006D3239"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  <w:t>Տվյալների կենտրոնի նկատմամբ պահանջներ</w:t>
      </w:r>
    </w:p>
    <w:p w:rsidR="0041596C" w:rsidRPr="006D3239" w:rsidRDefault="0041596C" w:rsidP="0041596C">
      <w:pPr>
        <w:pStyle w:val="ListParagraph"/>
        <w:numPr>
          <w:ilvl w:val="0"/>
          <w:numId w:val="10"/>
        </w:numPr>
        <w:spacing w:before="0" w:after="0"/>
        <w:ind w:left="318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5E1B03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>Կատարողը Պատվիրատուին տրամադրում է ամպային ծառայություններ իր ՏՄԿ ենթակառուցվածքում՝ պետական հատվածի համար առանձնացված սերվերների վրա։</w:t>
      </w:r>
    </w:p>
    <w:p w:rsidR="0041596C" w:rsidRPr="006D3239" w:rsidRDefault="0041596C" w:rsidP="0041596C">
      <w:pPr>
        <w:pStyle w:val="ListParagraph"/>
        <w:numPr>
          <w:ilvl w:val="0"/>
          <w:numId w:val="10"/>
        </w:numPr>
        <w:spacing w:before="0" w:after="0"/>
        <w:ind w:left="318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 xml:space="preserve"> ՏՄԿ ենթակառուցվածքը պետք է ապահովված լինի էլեկտրասնուցման համակարգով, որն առնվազն պետք է պարունակի՝ լիովին իրարից անկախ սնուցման աղբյուրներ (առնվազն 2 գիծ տարբեր ենթակայաններից, որոնք տվյալների կենտրոնին միանում են տարբեր` իրար չզուգակցող ճանապարհներով), պահուստային դիզելային գեներատորներ,</w:t>
      </w:r>
      <w:r w:rsidRPr="006D3239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 </w:t>
      </w: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 xml:space="preserve">որոնցից յուրաքանչյուրի հզորությունը պետք է բավարարի և ապահովի ամբողջ կենտրոնի էլեկտրամատակարարումը հիմնական 2 էլեկտրասնուցման աղբյուրների իսպառ բացակայության պայմաններում, անխափան սնուցման աղբյուրներ (UPS)՝ պահուստավորմամբ, պահուստային աղբյուրների ինքնաշխատ միացման ենթահամակարգ, էլեկտրասնուցման վերահսկման և կառավարման ենթահամակարգ: </w:t>
      </w:r>
    </w:p>
    <w:p w:rsidR="0041596C" w:rsidRPr="006D3239" w:rsidRDefault="0041596C" w:rsidP="0041596C">
      <w:pPr>
        <w:pStyle w:val="ListParagraph"/>
        <w:numPr>
          <w:ilvl w:val="0"/>
          <w:numId w:val="10"/>
        </w:numPr>
        <w:spacing w:before="0" w:after="0"/>
        <w:ind w:left="318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>ՏՄԿ ենթակառուցվածքը պետք է ապահովված լինի առնվազն երկու անկախ հովացման համակարգերով, որոնք առնվազն պետք է ներառեն օդափոխման, սառեցման, ջերմաստիճանի և խոնավության վերահսկման համակարգեր</w:t>
      </w:r>
      <w:r w:rsidRPr="006D3239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՝ կանխելու սարddքավորումների գերտաքացումն ու անջատումը։ </w:t>
      </w: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>Հովացման համակարգի հզորությունը</w:t>
      </w:r>
      <w:r w:rsidRPr="006D3239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 պետք է համապատասխանի օգտագործված էներգիայի հզորությանը, իսկսնուցումը պետք է ապահովվի տարբեր աղբյուրներից։</w:t>
      </w:r>
    </w:p>
    <w:p w:rsidR="0041596C" w:rsidRPr="006D3239" w:rsidRDefault="0041596C" w:rsidP="0041596C">
      <w:pPr>
        <w:pStyle w:val="ListParagraph"/>
        <w:numPr>
          <w:ilvl w:val="0"/>
          <w:numId w:val="10"/>
        </w:numPr>
        <w:spacing w:before="0" w:after="0"/>
        <w:ind w:left="318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 xml:space="preserve">ՏՄԿ-ում օդի կայուն ջերմաստիճանը պետք է լինի 20-22°C միջակայքում (համապատասխանում է ASHRAE ստանդարտում նշված միջակայքին), իսկ օդի հարաբերական խոնավությունը՝ 40-60%: </w:t>
      </w:r>
    </w:p>
    <w:p w:rsidR="0041596C" w:rsidRPr="006D3239" w:rsidRDefault="0041596C" w:rsidP="0041596C">
      <w:pPr>
        <w:pStyle w:val="ListParagraph"/>
        <w:numPr>
          <w:ilvl w:val="0"/>
          <w:numId w:val="10"/>
        </w:numPr>
        <w:spacing w:before="0" w:after="0"/>
        <w:ind w:left="318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hAnsi="GHEA Grapalat" w:cs="Tahoma"/>
          <w:noProof/>
          <w:color w:val="000000"/>
          <w:sz w:val="20"/>
          <w:szCs w:val="20"/>
          <w:lang w:val="hy-AM" w:eastAsia="ru-RU"/>
        </w:rPr>
        <w:t>ՏՄԿ ենթակառուցվածքում պետք է ապահովված լինի հեռահաղորդակցության համակարգ, որն առնվազն պետք է ներառի և ապահովի երկու և ավելի մատակարարներից անկախ՝ իրար հետ չհատվող (նույն կետը չկիսող, առանց ընդհանուր հենասյան) մալուխներով կապուղիներ տարբեր ուղղություններից, բարձր թողունակությամբ տվյալների փոխանցման գծեր, ցանցային սարքավորումներ, քրոս-միացման սենյակ, առնվազն 3 հիմնական օպերատորների առկայության հնարավորություն:</w:t>
      </w:r>
      <w:r w:rsidRPr="006D3239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 </w:t>
      </w:r>
    </w:p>
    <w:p w:rsidR="0041596C" w:rsidRPr="006D3239" w:rsidRDefault="0041596C" w:rsidP="0041596C">
      <w:pPr>
        <w:pStyle w:val="ListParagraph"/>
        <w:numPr>
          <w:ilvl w:val="0"/>
          <w:numId w:val="10"/>
        </w:numPr>
        <w:spacing w:before="0" w:after="0"/>
        <w:ind w:left="318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Կատարողը պետք է ապահովի առանձնացված (dedicated) կապուղի Պատվիրատուի գրասենյակից կամ տեղային միջավայրից դեպի ՏՄԿ։</w:t>
      </w:r>
    </w:p>
    <w:p w:rsidR="0041596C" w:rsidRPr="006D3239" w:rsidRDefault="0041596C" w:rsidP="0041596C">
      <w:pPr>
        <w:pStyle w:val="ListParagraph"/>
        <w:numPr>
          <w:ilvl w:val="0"/>
          <w:numId w:val="10"/>
        </w:numPr>
        <w:spacing w:before="0" w:after="0"/>
        <w:ind w:left="318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 xml:space="preserve">ՏՄԿ ենթակառուցվածքում պետք է ապահովված լինի առնվազն երկու հրդեհային անվտանգության համակարգեր, որոնք առնվազն պետք է ներառեն և ապահովեն ծխի վաղ հայտնաբերման ենթահամակարգ, գազային կամ վակումային հրդեհաշիջման ենթահամակարգ, հրդեհային ազդարարման </w:t>
      </w: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lastRenderedPageBreak/>
        <w:t>ավտոմատ համակարգ, մալուխային ուղիների մեկուսացում և հրդեհակայուն նյութերի կիրառում: Հրդեհային անվտանգության համակարգը պետք է համապատասխանի SP 5.13130.2009 (Systems of fire protection. Automatic fire-extinguishing and alarm systems. Designing and regulations rules) և SP 9.13130.2009 (Fire engineering. Fire extinguishers. Requirements to operation) ստանդարտերին:</w:t>
      </w:r>
    </w:p>
    <w:p w:rsidR="0041596C" w:rsidRPr="006D3239" w:rsidRDefault="0041596C" w:rsidP="0041596C">
      <w:pPr>
        <w:pStyle w:val="ListParagraph"/>
        <w:numPr>
          <w:ilvl w:val="0"/>
          <w:numId w:val="10"/>
        </w:numPr>
        <w:spacing w:before="0" w:after="0"/>
        <w:ind w:left="318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>ՏՄԿ ենթակառուցվածքում պետք է ապահովված լինի սերվերների և դրանց բաղադրիչների (օրինակ՝ էլեկտրասնուցման գծերի) N+1 պահուստավորում։</w:t>
      </w:r>
    </w:p>
    <w:p w:rsidR="0041596C" w:rsidRPr="006D3239" w:rsidRDefault="0041596C" w:rsidP="0041596C">
      <w:pPr>
        <w:pStyle w:val="ListParagraph"/>
        <w:numPr>
          <w:ilvl w:val="0"/>
          <w:numId w:val="10"/>
        </w:numPr>
        <w:spacing w:before="0" w:after="0"/>
        <w:ind w:left="318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>Պահուստային բաղադրիչ ունեցող ցանկացած հիմնական համակարգի անսարքության, շարքից դուրս գալու կամ սպասարկման/փոխարինման նպատակով անջատվելու դեպքմ պետք է գործարկվի պահուստային համակարգը և շարունակի աշխատել այնքան ժամանակ, մինչև հիմնական համակարգը վերականգնվի և դառնա աշխատունակ։</w:t>
      </w:r>
    </w:p>
    <w:p w:rsidR="0041596C" w:rsidRPr="006D3239" w:rsidRDefault="0041596C" w:rsidP="0041596C">
      <w:pPr>
        <w:pStyle w:val="ListParagraph"/>
        <w:numPr>
          <w:ilvl w:val="0"/>
          <w:numId w:val="10"/>
        </w:numPr>
        <w:spacing w:before="0" w:after="0"/>
        <w:ind w:left="318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>ՏՄԿ ենթակառուցվածքում պետք է ապահովված լինի ֆիզիկական անվտանգության ապահովման համակարգ, որը պետք է ներառի</w:t>
      </w:r>
      <w:r w:rsidRPr="006D3239">
        <w:rPr>
          <w:rFonts w:ascii="Cambria Math" w:eastAsia="MS Mincho" w:hAnsi="Cambria Math" w:cs="Cambria Math"/>
          <w:noProof/>
          <w:color w:val="000000"/>
          <w:sz w:val="20"/>
          <w:szCs w:val="20"/>
          <w:lang w:val="hy-AM" w:eastAsia="ru-RU"/>
        </w:rPr>
        <w:t>․</w:t>
      </w:r>
    </w:p>
    <w:p w:rsidR="0041596C" w:rsidRPr="006D3239" w:rsidRDefault="0041596C" w:rsidP="0041596C">
      <w:pPr>
        <w:pStyle w:val="ListParagraph"/>
        <w:numPr>
          <w:ilvl w:val="1"/>
          <w:numId w:val="10"/>
        </w:numPr>
        <w:spacing w:before="0" w:after="0"/>
        <w:ind w:left="743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 xml:space="preserve">մուտքի բազմամակարդակ  վերահսկման և կառավարման ենթահամակարգ (բիոմետրիա, մուտքի թույլտվության քարտեր և այլն), </w:t>
      </w:r>
    </w:p>
    <w:p w:rsidR="0041596C" w:rsidRPr="006D3239" w:rsidRDefault="0041596C" w:rsidP="0041596C">
      <w:pPr>
        <w:pStyle w:val="ListParagraph"/>
        <w:numPr>
          <w:ilvl w:val="1"/>
          <w:numId w:val="10"/>
        </w:numPr>
        <w:spacing w:before="0" w:after="0"/>
        <w:ind w:left="743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>ֆիզիկական մուտքերի/ելքերի և պատուհանների կենտրոնացված կառավարման և լոգավորման ենթահամակարգ: Լոգավորման ենթակա տվյալների ցանկը պետք է ներառի առնվազն հետևյալ տեղեկատվությունը</w:t>
      </w:r>
      <w:r w:rsidRPr="006D3239">
        <w:rPr>
          <w:rFonts w:ascii="Cambria Math" w:eastAsia="MS Mincho" w:hAnsi="Cambria Math" w:cs="Cambria Math"/>
          <w:noProof/>
          <w:color w:val="000000"/>
          <w:sz w:val="20"/>
          <w:szCs w:val="20"/>
          <w:lang w:val="hy-AM" w:eastAsia="ru-RU"/>
        </w:rPr>
        <w:t>․</w:t>
      </w:r>
    </w:p>
    <w:p w:rsidR="0041596C" w:rsidRPr="006D3239" w:rsidRDefault="0041596C" w:rsidP="0041596C">
      <w:pPr>
        <w:pStyle w:val="ListParagraph"/>
        <w:numPr>
          <w:ilvl w:val="3"/>
          <w:numId w:val="22"/>
        </w:numPr>
        <w:spacing w:before="0" w:after="0"/>
        <w:ind w:left="1560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>աշխատակցի/այցելուի անուն ազգանուն,</w:t>
      </w:r>
    </w:p>
    <w:p w:rsidR="0041596C" w:rsidRPr="006D3239" w:rsidRDefault="0041596C" w:rsidP="0041596C">
      <w:pPr>
        <w:pStyle w:val="ListParagraph"/>
        <w:numPr>
          <w:ilvl w:val="3"/>
          <w:numId w:val="22"/>
        </w:numPr>
        <w:spacing w:before="0" w:after="0"/>
        <w:ind w:left="1560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>հասանելիության գործիքը (օրինակ՝ բեյջ, բիոմետրիկ սկանավորում, քարտ և այլն),</w:t>
      </w:r>
    </w:p>
    <w:p w:rsidR="0041596C" w:rsidRPr="006D3239" w:rsidRDefault="0041596C" w:rsidP="0041596C">
      <w:pPr>
        <w:pStyle w:val="ListParagraph"/>
        <w:numPr>
          <w:ilvl w:val="3"/>
          <w:numId w:val="22"/>
        </w:numPr>
        <w:spacing w:before="0" w:after="0"/>
        <w:ind w:left="1560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>հասանելիության գործիքի նույնականացման համար,</w:t>
      </w:r>
    </w:p>
    <w:p w:rsidR="0041596C" w:rsidRPr="006D3239" w:rsidRDefault="0041596C" w:rsidP="0041596C">
      <w:pPr>
        <w:pStyle w:val="ListParagraph"/>
        <w:numPr>
          <w:ilvl w:val="3"/>
          <w:numId w:val="22"/>
        </w:numPr>
        <w:spacing w:before="0" w:after="0"/>
        <w:ind w:left="1560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>աշխատակցի/այցելուի կողմից օգտագործված կոնկրետ մուտքը/ելքը,</w:t>
      </w:r>
    </w:p>
    <w:p w:rsidR="0041596C" w:rsidRPr="006D3239" w:rsidRDefault="0041596C" w:rsidP="0041596C">
      <w:pPr>
        <w:pStyle w:val="ListParagraph"/>
        <w:numPr>
          <w:ilvl w:val="3"/>
          <w:numId w:val="22"/>
        </w:numPr>
        <w:spacing w:before="0" w:after="0"/>
        <w:ind w:left="1560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>անձը հաստատող փաստաթղթի տվյալներ,</w:t>
      </w:r>
    </w:p>
    <w:p w:rsidR="0041596C" w:rsidRPr="006D3239" w:rsidRDefault="0041596C" w:rsidP="0041596C">
      <w:pPr>
        <w:pStyle w:val="ListParagraph"/>
        <w:numPr>
          <w:ilvl w:val="3"/>
          <w:numId w:val="22"/>
        </w:numPr>
        <w:spacing w:before="0" w:after="0"/>
        <w:ind w:left="1560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 xml:space="preserve">մուտքի և ելքի ամսաթիվ, ժամ, րոպե, վայրկյան, </w:t>
      </w:r>
    </w:p>
    <w:p w:rsidR="0041596C" w:rsidRPr="006D3239" w:rsidRDefault="0041596C" w:rsidP="0041596C">
      <w:pPr>
        <w:pStyle w:val="ListParagraph"/>
        <w:numPr>
          <w:ilvl w:val="3"/>
          <w:numId w:val="22"/>
        </w:numPr>
        <w:spacing w:before="0" w:after="0"/>
        <w:ind w:left="1560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>հասանելիության տրամադրման կամ մերժման վերաբերյալ նշում,</w:t>
      </w:r>
    </w:p>
    <w:p w:rsidR="0041596C" w:rsidRPr="006D3239" w:rsidRDefault="0041596C" w:rsidP="0041596C">
      <w:pPr>
        <w:pStyle w:val="ListParagraph"/>
        <w:numPr>
          <w:ilvl w:val="3"/>
          <w:numId w:val="22"/>
        </w:numPr>
        <w:spacing w:before="0" w:after="0"/>
        <w:ind w:left="1560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>մերժման դեպքում՝ պատճառի մասին նշում,</w:t>
      </w:r>
    </w:p>
    <w:p w:rsidR="0041596C" w:rsidRPr="00D755C4" w:rsidRDefault="0041596C" w:rsidP="0041596C">
      <w:pPr>
        <w:pStyle w:val="ListParagraph"/>
        <w:numPr>
          <w:ilvl w:val="3"/>
          <w:numId w:val="22"/>
        </w:numPr>
        <w:spacing w:before="0" w:after="0"/>
        <w:ind w:left="1560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D755C4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>մուտքի նպատակի կարճ նկարագրություն։</w:t>
      </w:r>
    </w:p>
    <w:p w:rsidR="0041596C" w:rsidRPr="00D755C4" w:rsidRDefault="0041596C" w:rsidP="0041596C">
      <w:pPr>
        <w:pStyle w:val="ListParagraph"/>
        <w:numPr>
          <w:ilvl w:val="2"/>
          <w:numId w:val="10"/>
        </w:numPr>
        <w:spacing w:before="0" w:after="0"/>
        <w:ind w:left="743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D755C4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Լոգավորման ենթակա տվյալները պետք է պահպանվեն առվազն 90 օր և փոխանցվեն Պատվիրատուին ամբողջական, համաձայն վերջինիս հարցման։</w:t>
      </w:r>
    </w:p>
    <w:p w:rsidR="0041596C" w:rsidRPr="006D3239" w:rsidRDefault="0041596C" w:rsidP="0041596C">
      <w:pPr>
        <w:pStyle w:val="ListParagraph"/>
        <w:numPr>
          <w:ilvl w:val="1"/>
          <w:numId w:val="10"/>
        </w:numPr>
        <w:spacing w:before="0" w:after="0"/>
        <w:ind w:left="743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 xml:space="preserve">24/7 տեսահսկման ենթահամակարգ՝, որը պետք է ապահովի տեսադիտարկում ՏՄԿ բոլոր հատվածներում՝ առանց «կույր» գոտիների։ Տեսագրությունները պետք է պահպանվեն ամբողջ ծավալով՝ առնվազն 90 օր։ </w:t>
      </w:r>
      <w:r w:rsidRPr="006D3239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Սերվերային Պահարանի վարձակալման դեպքում Պատվիրատուին պետք է տրամադրվի վիդեոտեսահսկման ծառայությունից 24/7 ռեժիմով օգտվելու հնարավորություն։ Սերվերային Պահարանի տեսագրությունների պահպանման ժամկետը պետք է սահմանվեն պատվիրատուի պահանջի համաձայն։</w:t>
      </w:r>
    </w:p>
    <w:p w:rsidR="0041596C" w:rsidRPr="006D3239" w:rsidRDefault="0041596C" w:rsidP="0041596C">
      <w:pPr>
        <w:pStyle w:val="ListParagraph"/>
        <w:numPr>
          <w:ilvl w:val="1"/>
          <w:numId w:val="10"/>
        </w:numPr>
        <w:spacing w:before="0" w:after="0"/>
        <w:ind w:left="743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 xml:space="preserve">Անվտանգության համակարգը պետք է ապահովի պարագծային պաշտպանության ենթահամակարգ (պարիսպներ, անցակետեր տուրնիկետներ, անվտանգության աշխատակիցներ)։ </w:t>
      </w:r>
    </w:p>
    <w:p w:rsidR="0041596C" w:rsidRPr="006D3239" w:rsidRDefault="0041596C" w:rsidP="0041596C">
      <w:pPr>
        <w:pStyle w:val="ListParagraph"/>
        <w:numPr>
          <w:ilvl w:val="1"/>
          <w:numId w:val="10"/>
        </w:numPr>
        <w:spacing w:before="0" w:after="0"/>
        <w:ind w:left="743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>Տվայլների կենտրոնը և իր պաշտպանության պարագիծը պետք է կահավորված լինեն տվիչներով, որոնք թույլ կտան հայտնաբերել՝ շարժումը, դռների և պատուհանների չարտոնված բացումը, պատուհանների վնասումը, ոչ փակ դռներն ու պատուհանները, ինչպես նաև ծանուցել (SMS, էլ</w:t>
      </w:r>
      <w:r w:rsidRPr="006D3239">
        <w:rPr>
          <w:rFonts w:ascii="Cambria Math" w:eastAsia="MS Mincho" w:hAnsi="Cambria Math" w:cs="Cambria Math"/>
          <w:noProof/>
          <w:color w:val="000000"/>
          <w:sz w:val="20"/>
          <w:szCs w:val="20"/>
          <w:lang w:val="hy-AM" w:eastAsia="ru-RU"/>
        </w:rPr>
        <w:t>․</w:t>
      </w: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 xml:space="preserve"> փոստ և այլն) համապատասխան աշխատակիցներին: </w:t>
      </w:r>
    </w:p>
    <w:p w:rsidR="0041596C" w:rsidRPr="006D3239" w:rsidRDefault="0041596C" w:rsidP="0041596C">
      <w:pPr>
        <w:pStyle w:val="ListParagraph"/>
        <w:numPr>
          <w:ilvl w:val="1"/>
          <w:numId w:val="10"/>
        </w:numPr>
        <w:spacing w:before="0" w:after="0"/>
        <w:ind w:left="743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>Անվտանգության համակարգը պետք է թույլ տա մեկ կետից տվյալների կենտրոնը բերել պահպանության ռեժիմի:</w:t>
      </w:r>
      <w:r w:rsidRPr="006D3239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 Պահպանության ռեժիմը ենթադրում է անվտանգության համակարգի </w:t>
      </w: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 xml:space="preserve">հատուկ գործառնական վիճակի մեկնարկ, երբ հայտնաբերվում է ֆիզիկական աանվտանգությանը </w:t>
      </w: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lastRenderedPageBreak/>
        <w:t>սպառնացող միջադեպ: Անվտանգության համակարգի պահպանության ռեժիմի ակտիվացման դեպքում պետք է գործարկվեն առնվազն հետևյալ պաշտպանական միջոցները՝</w:t>
      </w:r>
    </w:p>
    <w:p w:rsidR="0041596C" w:rsidRPr="006D3239" w:rsidRDefault="0041596C" w:rsidP="0041596C">
      <w:pPr>
        <w:pStyle w:val="ListParagraph"/>
        <w:numPr>
          <w:ilvl w:val="3"/>
          <w:numId w:val="24"/>
        </w:numPr>
        <w:spacing w:before="0" w:after="0"/>
        <w:ind w:left="1560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>կենտրոնացված ծանուցումներ ուղարկում միջադեպի արձագանքման համար պատասխանատու անձանց (օրինակ՝ ֆիզիկական անվտանգության խմբին), ղեկավարությանը և այլն,</w:t>
      </w:r>
    </w:p>
    <w:p w:rsidR="0041596C" w:rsidRPr="006D3239" w:rsidRDefault="0041596C" w:rsidP="0041596C">
      <w:pPr>
        <w:pStyle w:val="ListParagraph"/>
        <w:numPr>
          <w:ilvl w:val="3"/>
          <w:numId w:val="24"/>
        </w:numPr>
        <w:spacing w:before="0" w:after="0"/>
        <w:ind w:left="1560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>լրացուցիչ տեսախցիկների և տվիչների ավտոմատ ակտիվացում,</w:t>
      </w:r>
    </w:p>
    <w:p w:rsidR="0041596C" w:rsidRPr="006D3239" w:rsidRDefault="0041596C" w:rsidP="0041596C">
      <w:pPr>
        <w:pStyle w:val="ListParagraph"/>
        <w:numPr>
          <w:ilvl w:val="3"/>
          <w:numId w:val="24"/>
        </w:numPr>
        <w:spacing w:before="0" w:after="0"/>
        <w:ind w:left="1560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>ֆիզիկական անվտանգության խմբի տեղակայում,</w:t>
      </w:r>
    </w:p>
    <w:p w:rsidR="0041596C" w:rsidRPr="006D3239" w:rsidRDefault="0041596C" w:rsidP="0041596C">
      <w:pPr>
        <w:pStyle w:val="ListParagraph"/>
        <w:numPr>
          <w:ilvl w:val="3"/>
          <w:numId w:val="24"/>
        </w:numPr>
        <w:spacing w:before="0" w:after="0"/>
        <w:ind w:left="1560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 xml:space="preserve">վտանգավոր գոտիների արգելափակում՝ նախնական գնահատման առկայության դեպքում, </w:t>
      </w:r>
    </w:p>
    <w:p w:rsidR="0041596C" w:rsidRPr="006D3239" w:rsidRDefault="0041596C" w:rsidP="0041596C">
      <w:pPr>
        <w:pStyle w:val="ListParagraph"/>
        <w:numPr>
          <w:ilvl w:val="3"/>
          <w:numId w:val="24"/>
        </w:numPr>
        <w:spacing w:before="0" w:after="0"/>
        <w:ind w:left="1560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>բոլոր արտաքին և ներքին դռների արգելափակում՝ նախնական գնահատման բացակայության դեպքում,</w:t>
      </w:r>
    </w:p>
    <w:p w:rsidR="0041596C" w:rsidRPr="006D3239" w:rsidRDefault="0041596C" w:rsidP="0041596C">
      <w:pPr>
        <w:pStyle w:val="ListParagraph"/>
        <w:numPr>
          <w:ilvl w:val="3"/>
          <w:numId w:val="24"/>
        </w:numPr>
        <w:spacing w:before="0" w:after="0"/>
        <w:ind w:left="1560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>հասանելիության գործիքների (օրինակ՝ բեյջ, բիոմետրիկ սկանավորում, քարտ և այլն) սահմանափակում՝ անձնակազմի ավելի փոքր խմբի համար,</w:t>
      </w:r>
    </w:p>
    <w:p w:rsidR="0041596C" w:rsidRPr="006D3239" w:rsidRDefault="0041596C" w:rsidP="0041596C">
      <w:pPr>
        <w:pStyle w:val="ListParagraph"/>
        <w:numPr>
          <w:ilvl w:val="3"/>
          <w:numId w:val="24"/>
        </w:numPr>
        <w:spacing w:before="0" w:after="0"/>
        <w:ind w:left="1560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>Ոչ կրիտիկական գործողությունների (օրինակ՝ առօրյա պահուստավորման և արխիվացման գործընթացներ, առօրյա տեխնիկական սպասարկում և թեստավորումներ, պարբերական տվյալների մշակում (օրինակ՝ վերլուծական հաշվետվությունների պատրաստման նպատակով), ներքին և արտաքին համագործակցության գործիքների գործունեություն, ոչ կրիտիկական անձնակազմի մուտք համակարգ) սահմանափակում կամ կասեցում։</w:t>
      </w:r>
    </w:p>
    <w:p w:rsidR="0041596C" w:rsidRPr="006D3239" w:rsidRDefault="0041596C" w:rsidP="0041596C">
      <w:pPr>
        <w:pStyle w:val="ListParagraph"/>
        <w:numPr>
          <w:ilvl w:val="1"/>
          <w:numId w:val="10"/>
        </w:numPr>
        <w:spacing w:before="0" w:after="0"/>
        <w:ind w:left="743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 xml:space="preserve">Անվտանգության համակարգը պետք է ապահովի 24/7 մշտադիտարկման և կառավարման համակարգ, որն առնվազն պետք է պարունակի և </w:t>
      </w:r>
      <w:r w:rsidRPr="006D3239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ապահովի՝ տվյալների կենտրոնի ենթակառուցվածքի կառավարման ենթահամակարգ, էներգիայի սպառման, հովացման ջերմաստիճանի և խոնավության մշտադիտարկման ենթահամակարգ, ջրի հայտնաբերման և տարածման կանխման  համակարգ, արտակարգ</w:t>
      </w: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 xml:space="preserve"> իրավիճակների ծանուցման ենթահամակարգ (SMS, էլ</w:t>
      </w:r>
      <w:r w:rsidRPr="006D3239">
        <w:rPr>
          <w:rFonts w:ascii="Cambria Math" w:eastAsia="MS Mincho" w:hAnsi="Cambria Math" w:cs="Cambria Math"/>
          <w:noProof/>
          <w:color w:val="000000"/>
          <w:sz w:val="20"/>
          <w:szCs w:val="20"/>
          <w:lang w:val="hy-AM" w:eastAsia="ru-RU"/>
        </w:rPr>
        <w:t>․</w:t>
      </w: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 xml:space="preserve"> փոստ և այլն)։ </w:t>
      </w:r>
      <w:r w:rsidRPr="006D3239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Մշտադիտարկման տվյալները պետք է պահպանվեն առնվազն երեք տարի ժամկետով,</w:t>
      </w:r>
    </w:p>
    <w:p w:rsidR="0041596C" w:rsidRPr="006D3239" w:rsidRDefault="0041596C" w:rsidP="0041596C">
      <w:pPr>
        <w:pStyle w:val="ListParagraph"/>
        <w:numPr>
          <w:ilvl w:val="1"/>
          <w:numId w:val="10"/>
        </w:numPr>
        <w:spacing w:before="0" w:after="0"/>
        <w:ind w:left="743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Կատարողն՝ իր կազմակերպչական, տեխնիկական և տեխնոլոգիական միջոցներով կամ երրորդ անձի ներգրավմամբ, պետք է ապահովի ՏՄԿ տարածքի անվտանգության պահպանման ռեժիմը, որն պետք է ներառի</w:t>
      </w:r>
      <w:r w:rsidRPr="006D3239">
        <w:rPr>
          <w:rFonts w:ascii="Cambria Math" w:eastAsia="MS Mincho" w:hAnsi="Cambria Math" w:cs="Cambria Math"/>
          <w:noProof/>
          <w:color w:val="000000"/>
          <w:sz w:val="20"/>
          <w:szCs w:val="20"/>
          <w:lang w:val="hy-AM"/>
        </w:rPr>
        <w:t>․</w:t>
      </w:r>
      <w:r w:rsidRPr="006D3239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 </w:t>
      </w:r>
    </w:p>
    <w:p w:rsidR="0041596C" w:rsidRPr="006D3239" w:rsidRDefault="0041596C" w:rsidP="0041596C">
      <w:pPr>
        <w:pStyle w:val="ListParagraph"/>
        <w:numPr>
          <w:ilvl w:val="3"/>
          <w:numId w:val="27"/>
        </w:numPr>
        <w:spacing w:before="0" w:after="0"/>
        <w:ind w:left="1560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ՏՄԿ այցելության և աշխատանքների իրականացման կարգը, </w:t>
      </w:r>
    </w:p>
    <w:p w:rsidR="0041596C" w:rsidRPr="006D3239" w:rsidRDefault="0041596C" w:rsidP="0041596C">
      <w:pPr>
        <w:pStyle w:val="ListParagraph"/>
        <w:numPr>
          <w:ilvl w:val="3"/>
          <w:numId w:val="27"/>
        </w:numPr>
        <w:spacing w:before="0" w:after="0"/>
        <w:ind w:left="1560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սարքավորումների մուտքի և ելքի կարգը,</w:t>
      </w:r>
    </w:p>
    <w:p w:rsidR="0041596C" w:rsidRPr="006D3239" w:rsidRDefault="0041596C" w:rsidP="0041596C">
      <w:pPr>
        <w:pStyle w:val="ListParagraph"/>
        <w:numPr>
          <w:ilvl w:val="3"/>
          <w:numId w:val="27"/>
        </w:numPr>
        <w:spacing w:before="0" w:after="0"/>
        <w:ind w:left="1560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Պատվիրատուի և Կատարողի աշխատակիցների դերերը և իրավասությունների մակարդակները,</w:t>
      </w:r>
    </w:p>
    <w:p w:rsidR="0041596C" w:rsidRPr="006D3239" w:rsidRDefault="0041596C" w:rsidP="0041596C">
      <w:pPr>
        <w:pStyle w:val="ListParagraph"/>
        <w:numPr>
          <w:ilvl w:val="1"/>
          <w:numId w:val="10"/>
        </w:numPr>
        <w:spacing w:before="0" w:after="0"/>
        <w:ind w:left="743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ՏՄԿ և դրա ենթակառուցվածքներին մշտական և ժամանակավոր մուտքի (և՛ ֆիզիկական, և՛ ոչ ֆիզիկական) թուլտվություն ունեցող բոլոր անձինք (Կատարողի և պատվիրատուների աշխատակիցները) պետք է ենթարկվեն կենսագրական տվյալների ստուգումների (background checks), ներառյալ</w:t>
      </w:r>
      <w:r w:rsidRPr="006D3239">
        <w:rPr>
          <w:rFonts w:ascii="Cambria Math" w:eastAsia="MS Mincho" w:hAnsi="Cambria Math" w:cs="Cambria Math"/>
          <w:noProof/>
          <w:color w:val="000000"/>
          <w:sz w:val="20"/>
          <w:szCs w:val="20"/>
          <w:lang w:val="hy-AM"/>
        </w:rPr>
        <w:t>․</w:t>
      </w:r>
    </w:p>
    <w:p w:rsidR="0041596C" w:rsidRPr="006D3239" w:rsidRDefault="0041596C" w:rsidP="0041596C">
      <w:pPr>
        <w:pStyle w:val="ListParagraph"/>
        <w:numPr>
          <w:ilvl w:val="3"/>
          <w:numId w:val="28"/>
        </w:numPr>
        <w:spacing w:before="0" w:after="0"/>
        <w:ind w:left="1560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>ինքնության ստուգումներ (օրինակ՝ անձնագրեր),</w:t>
      </w:r>
    </w:p>
    <w:p w:rsidR="0041596C" w:rsidRPr="006D3239" w:rsidRDefault="0041596C" w:rsidP="0041596C">
      <w:pPr>
        <w:pStyle w:val="ListParagraph"/>
        <w:numPr>
          <w:ilvl w:val="3"/>
          <w:numId w:val="28"/>
        </w:numPr>
        <w:spacing w:before="0" w:after="0"/>
        <w:ind w:left="1560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>մասնագիտական համապատասխանության ստուգումներ (օրինակ՝ աշխատանքի վայրից տեղեկանք կամ սերտիֆիկատ),</w:t>
      </w:r>
    </w:p>
    <w:p w:rsidR="0041596C" w:rsidRPr="006D3239" w:rsidRDefault="0041596C" w:rsidP="0041596C">
      <w:pPr>
        <w:pStyle w:val="ListParagraph"/>
        <w:numPr>
          <w:ilvl w:val="3"/>
          <w:numId w:val="28"/>
        </w:numPr>
        <w:spacing w:before="0" w:after="0"/>
        <w:ind w:left="1560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>քրեական ստուգումներ (օրինակ՝ դատվածության և հետախուզման առկայության մասին տեղեկանք)։</w:t>
      </w:r>
    </w:p>
    <w:p w:rsidR="0041596C" w:rsidRPr="006D3239" w:rsidRDefault="0041596C" w:rsidP="0041596C">
      <w:pPr>
        <w:pStyle w:val="ListParagraph"/>
        <w:numPr>
          <w:ilvl w:val="1"/>
          <w:numId w:val="10"/>
        </w:numPr>
        <w:spacing w:before="0" w:after="0"/>
        <w:ind w:left="743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MS Mincho" w:hAnsi="GHEA Grapalat" w:cs="Tahoma"/>
          <w:noProof/>
          <w:color w:val="000000"/>
          <w:sz w:val="20"/>
          <w:szCs w:val="20"/>
          <w:lang w:val="hy-AM"/>
        </w:rPr>
        <w:t xml:space="preserve">Կատարողի համապատասխան ստորաբաժանման </w:t>
      </w:r>
      <w:r w:rsidRPr="006D3239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կողմից</w:t>
      </w:r>
      <w:r w:rsidRPr="006D3239">
        <w:rPr>
          <w:rFonts w:cs="Calibri"/>
          <w:noProof/>
          <w:color w:val="000000"/>
          <w:sz w:val="20"/>
          <w:szCs w:val="20"/>
          <w:lang w:val="hy-AM"/>
        </w:rPr>
        <w:t> </w:t>
      </w:r>
      <w:r w:rsidRPr="006D3239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պաշտոնական թույլտվության բացակայության դեպքում դեպի ծառայության ենթակառուցվածք չարտոնված անձնակազմի մուտքն արգելված է։ Այնուամենայնիվ, Պատվիրատուի համապատասխան աշխատակցին(ներին) տրվում է ՏՄԿ մուտք գործելու թույլտվություն՝ անհապաղ միջամտություն պահանջող արտակարգ իրավիճակներում,  հետևյալ պայմաններով՝</w:t>
      </w:r>
    </w:p>
    <w:p w:rsidR="0041596C" w:rsidRPr="006D3239" w:rsidRDefault="0041596C" w:rsidP="0041596C">
      <w:pPr>
        <w:pStyle w:val="ListParagraph"/>
        <w:numPr>
          <w:ilvl w:val="2"/>
          <w:numId w:val="10"/>
        </w:numPr>
        <w:spacing w:before="0" w:after="0"/>
        <w:ind w:left="743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 xml:space="preserve">Պատվիրատուն պետք է ծանուցի Կատարողին դեպի ՏՄԿ մուտքի նախաձեռնումից անմիջապես հետո։ ՏՄԿ մուտքի նախաձեռնման և դրա մասին ծանուցման իրավասությունը տրվում է հստակ անձի։ Անհրաժեշտ է ներառել վերջինիս անունը ազգանունը, անձնագրային տվյալները, հեռախոսահամար, Էլ.փոստը։ </w:t>
      </w:r>
    </w:p>
    <w:p w:rsidR="0041596C" w:rsidRPr="006D3239" w:rsidRDefault="0041596C" w:rsidP="0041596C">
      <w:pPr>
        <w:pStyle w:val="ListParagraph"/>
        <w:numPr>
          <w:ilvl w:val="2"/>
          <w:numId w:val="10"/>
        </w:numPr>
        <w:spacing w:before="0" w:after="0"/>
        <w:ind w:left="743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lastRenderedPageBreak/>
        <w:t>Կատարողի համապատասխան ստորաբաժանման լիազորված աշխատակիցը պետք է հաստատի մուտքը թույտվության հայտի միջոցով՝ արտակարգ իրավիճակի մասին ծանուցվելուց առավելագույնը 30 րոպեի ընթացքում,Կատարողի պահանջով Պատվիատուի համապատասխան աշխատակցին կարող է կցվել ուղեկցող։</w:t>
      </w:r>
    </w:p>
    <w:p w:rsidR="0041596C" w:rsidRPr="006D3239" w:rsidRDefault="0041596C" w:rsidP="0041596C">
      <w:pPr>
        <w:pStyle w:val="ListParagraph"/>
        <w:numPr>
          <w:ilvl w:val="0"/>
          <w:numId w:val="10"/>
        </w:numPr>
        <w:spacing w:before="0" w:after="0"/>
        <w:ind w:left="318"/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</w:pPr>
      <w:r w:rsidRPr="006D3239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Կատարողը՝ իր կազմակերպչական, տեխնիկական և տեխնոլոգիական միջոցներով կամ երրորդ կողմի ներգրավմամբ, պետք է ապահովի 24/7 տեղեկատվական անվտանգության շարունակական գործընթաց, որն առնվազն պետք է ներառի</w:t>
      </w:r>
      <w:r w:rsidRPr="006D3239">
        <w:rPr>
          <w:rFonts w:ascii="Cambria Math" w:eastAsia="MS Mincho" w:hAnsi="Cambria Math" w:cs="Cambria Math"/>
          <w:noProof/>
          <w:color w:val="000000"/>
          <w:sz w:val="20"/>
          <w:szCs w:val="20"/>
          <w:lang w:val="hy-AM"/>
        </w:rPr>
        <w:t>․</w:t>
      </w:r>
    </w:p>
    <w:p w:rsidR="0041596C" w:rsidRPr="006D3239" w:rsidRDefault="0041596C" w:rsidP="0041596C">
      <w:pPr>
        <w:pStyle w:val="ListParagraph"/>
        <w:numPr>
          <w:ilvl w:val="1"/>
          <w:numId w:val="9"/>
        </w:numPr>
        <w:tabs>
          <w:tab w:val="left" w:pos="90"/>
        </w:tabs>
        <w:spacing w:before="0" w:after="0"/>
        <w:ind w:left="743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6D3239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միջադեպերի կանխարգելում, խոցելիությունների որոնում, հակազդող միջոցների կիրառում,</w:t>
      </w:r>
    </w:p>
    <w:p w:rsidR="0041596C" w:rsidRPr="006D3239" w:rsidRDefault="0041596C" w:rsidP="0041596C">
      <w:pPr>
        <w:pStyle w:val="ListParagraph"/>
        <w:numPr>
          <w:ilvl w:val="1"/>
          <w:numId w:val="9"/>
        </w:numPr>
        <w:tabs>
          <w:tab w:val="left" w:pos="90"/>
        </w:tabs>
        <w:spacing w:before="0" w:after="0"/>
        <w:ind w:left="743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6D3239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24/7 մոնիթորինգ, կիբեռհարձակումների հնարավոր դեպքերի հայտնաբերում և վերլուծություն իրական ժամանակում,</w:t>
      </w:r>
    </w:p>
    <w:p w:rsidR="0041596C" w:rsidRPr="006D3239" w:rsidRDefault="0041596C" w:rsidP="0041596C">
      <w:pPr>
        <w:pStyle w:val="ListParagraph"/>
        <w:numPr>
          <w:ilvl w:val="1"/>
          <w:numId w:val="9"/>
        </w:numPr>
        <w:tabs>
          <w:tab w:val="left" w:pos="90"/>
        </w:tabs>
        <w:spacing w:before="0" w:after="0"/>
        <w:ind w:left="743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6D3239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հաստատված միջադեպերին արձագանքում, որի ամբողջ գործընթացը պետք է կազմակերպված լինի միջազգային ստանդարտներին համապատասխան և ներառի հետևյալ փուլերը՝ նախապատրաստում (ուսուցում, հրահանգներ, մոնիթորինգ), հայտնաբերում, դասակարգում, արձագանքում, վերլուծություն, մշակում և հաշվետվություն, կանխարգելման միջոցառումներ (պարբերական աուդիտներ և թեստեր, համակարգերի արդիականացում և աշխատակիցների ուսուցում),</w:t>
      </w:r>
    </w:p>
    <w:p w:rsidR="0041596C" w:rsidRPr="006D3239" w:rsidRDefault="0041596C" w:rsidP="0041596C">
      <w:pPr>
        <w:pStyle w:val="ListParagraph"/>
        <w:numPr>
          <w:ilvl w:val="1"/>
          <w:numId w:val="9"/>
        </w:numPr>
        <w:tabs>
          <w:tab w:val="left" w:pos="90"/>
        </w:tabs>
        <w:spacing w:before="0" w:after="0"/>
        <w:ind w:left="743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6D3239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Տեղեկատվական անվտանգության միջադեպերի ներքին հետաքնության համակարգ: Ցանկացած միջադեպ, որը որ տեղի է ունեցել կրիտիկական կոմպոնենտների հետ, և ազդել է ծառայությունների որակի վրա, պետք է անմիջապես տեղեկացվի Պատվիրատուին, և հակամիջոցների կիրառման մասին հաշվետվությունը (post-morterm report) պետք է տրամադրվի ոչ ուշ, քան հակազդող միջոցների կիրառումից հետո 48 ժամվա ընթացքում։</w:t>
      </w:r>
    </w:p>
    <w:p w:rsidR="0041596C" w:rsidRPr="006D3239" w:rsidRDefault="0041596C" w:rsidP="0041596C">
      <w:pPr>
        <w:pStyle w:val="ListParagraph"/>
        <w:numPr>
          <w:ilvl w:val="0"/>
          <w:numId w:val="10"/>
        </w:numPr>
        <w:tabs>
          <w:tab w:val="left" w:pos="90"/>
        </w:tabs>
        <w:spacing w:before="0" w:after="0"/>
        <w:ind w:left="318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>Կատարողն պետք է ապահովի 99,9% հասանելիության մակարդակ (համարժեք է տարեկան մոտավորապես 8 ժամ 45 րոպե անհասանելիության):</w:t>
      </w:r>
    </w:p>
    <w:p w:rsidR="0041596C" w:rsidRPr="006D3239" w:rsidRDefault="0041596C" w:rsidP="0041596C">
      <w:pPr>
        <w:pStyle w:val="ListParagraph"/>
        <w:numPr>
          <w:ilvl w:val="0"/>
          <w:numId w:val="10"/>
        </w:numPr>
        <w:tabs>
          <w:tab w:val="left" w:pos="90"/>
        </w:tabs>
        <w:spacing w:before="0" w:after="0"/>
        <w:ind w:left="318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6D3239">
        <w:rPr>
          <w:rFonts w:ascii="GHEA Grapalat" w:eastAsia="Times New Roman" w:hAnsi="GHEA Grapalat" w:cs="Tahoma"/>
          <w:noProof/>
          <w:color w:val="000000"/>
          <w:sz w:val="20"/>
          <w:szCs w:val="20"/>
          <w:lang w:val="hy-AM" w:eastAsia="ru-RU"/>
        </w:rPr>
        <w:t>Տվյալների կենտրոնը պետք է կառավարվի շուրջօրյա (24/7 ռեժիմով)՝ պատրաստ արձագանքելու ցանկացած միջադեպի։</w:t>
      </w:r>
    </w:p>
    <w:p w:rsidR="0041596C" w:rsidRPr="006D3239" w:rsidRDefault="0041596C" w:rsidP="0041596C">
      <w:pPr>
        <w:pStyle w:val="ListParagraph"/>
        <w:numPr>
          <w:ilvl w:val="0"/>
          <w:numId w:val="10"/>
        </w:numPr>
        <w:tabs>
          <w:tab w:val="left" w:pos="90"/>
        </w:tabs>
        <w:spacing w:before="0" w:after="0"/>
        <w:ind w:left="318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6D3239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ՏՄԿ-ում պետք է առկա հուսալի ցանցային ենթակառուցվածք՝ պահուստային ցանցային սարքերով, ներառյալ՝ երթուղիչներ (routers), փոխարկիչներ (switches) և հրեպատեր (firewalls)։</w:t>
      </w:r>
    </w:p>
    <w:p w:rsidR="0041596C" w:rsidRPr="006D3239" w:rsidRDefault="0041596C" w:rsidP="0041596C">
      <w:pPr>
        <w:pStyle w:val="ListParagraph"/>
        <w:numPr>
          <w:ilvl w:val="0"/>
          <w:numId w:val="10"/>
        </w:numPr>
        <w:tabs>
          <w:tab w:val="left" w:pos="90"/>
        </w:tabs>
        <w:spacing w:before="0" w:after="0"/>
        <w:ind w:left="318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6D3239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ՏՄԿ-ի տեղանքը պետք է ընտրված լինի հաշվի առնելով և նվազեցնելով ջրհեղեղի, երկրաշարժի և շրջակա միջավայրի այլ գործոնների հնարավոր ազդեցությունը:</w:t>
      </w:r>
    </w:p>
    <w:p w:rsidR="0041596C" w:rsidRPr="006D3239" w:rsidRDefault="0041596C" w:rsidP="0041596C">
      <w:pPr>
        <w:pStyle w:val="ListParagraph"/>
        <w:numPr>
          <w:ilvl w:val="0"/>
          <w:numId w:val="10"/>
        </w:numPr>
        <w:tabs>
          <w:tab w:val="left" w:pos="90"/>
        </w:tabs>
        <w:spacing w:before="0" w:after="0"/>
        <w:ind w:left="318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6D3239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ՏՄԿ-ում պետք է առկա լինի Պատվիրատուի համար առանձնացված և վերջինիս պահանջներին համապատասխան թողունակության տրամադրման հնարավորություն:</w:t>
      </w:r>
    </w:p>
    <w:p w:rsidR="0041596C" w:rsidRPr="006D3239" w:rsidRDefault="0041596C" w:rsidP="0041596C">
      <w:pPr>
        <w:pStyle w:val="ListParagraph"/>
        <w:numPr>
          <w:ilvl w:val="0"/>
          <w:numId w:val="10"/>
        </w:numPr>
        <w:tabs>
          <w:tab w:val="left" w:pos="90"/>
        </w:tabs>
        <w:spacing w:before="0" w:after="0"/>
        <w:ind w:left="318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6D3239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ՏՄԿ-ում համակարգը պետք է նախագծված լինի այնպես, որ ինքնաշխատ կերպով հայտնաբերի անսարքությունները կամ խափանումներն առանձին բաղադրիչներում/մոդուլներում՝ կանխելով դրանց ծավալի մեծացումը և տարածումը համակարգի այլ մասերի վրա: </w:t>
      </w:r>
    </w:p>
    <w:p w:rsidR="0041596C" w:rsidRDefault="0041596C" w:rsidP="0041596C">
      <w:pPr>
        <w:pStyle w:val="ListParagraph"/>
        <w:numPr>
          <w:ilvl w:val="0"/>
          <w:numId w:val="10"/>
        </w:numPr>
        <w:tabs>
          <w:tab w:val="left" w:pos="90"/>
        </w:tabs>
        <w:spacing w:before="0" w:after="0"/>
        <w:ind w:left="318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033B83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Կատարողը</w:t>
      </w:r>
      <w:r w:rsidRPr="00945394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, իսկ կոնսորցիումի դեպքում՝ բոլոր անդամները, պետք է ունենան ISO/IEC 27001 կամ միջազգային ճանաչում ունեցող համարժեք գործող հավաստագիր, կամ վերջին երեք (3) տարիների ընթացքում տրված աուդիտորական զեկույց, որը հաստատում է համապատասխան կառավարման համակարգի ներդրումն ու արդյունավետ կիրառումը:</w:t>
      </w:r>
    </w:p>
    <w:p w:rsidR="0041596C" w:rsidRPr="00033B83" w:rsidRDefault="0041596C" w:rsidP="0041596C">
      <w:pPr>
        <w:pStyle w:val="ListParagraph"/>
        <w:numPr>
          <w:ilvl w:val="0"/>
          <w:numId w:val="10"/>
        </w:numPr>
        <w:tabs>
          <w:tab w:val="left" w:pos="90"/>
        </w:tabs>
        <w:spacing w:before="0" w:after="0"/>
        <w:ind w:left="318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033B83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Կատարողն` իր կազմակերպչական, տեխնիկական և տեխնոլոգիական իր միջոցներով կամ երրորդ կողմի ներգրավմամբ, պետք է ապահովի Պատվիրատուի ցանկացած  տեղեկատվության և դրանց կրիչների հետ աշխատանքը միջազգային ստանդարտներին (օրինակ՝ NIST 800-88 Guidelines for Media Sanitization) համապատասխան՝ սկսած տեղադրումից մինչև անվտանգ ոչնչացում։</w:t>
      </w:r>
    </w:p>
    <w:p w:rsidR="0041596C" w:rsidRPr="006D3239" w:rsidRDefault="0041596C" w:rsidP="0041596C">
      <w:pPr>
        <w:pStyle w:val="ListParagraph"/>
        <w:numPr>
          <w:ilvl w:val="0"/>
          <w:numId w:val="10"/>
        </w:numPr>
        <w:spacing w:before="0" w:after="0"/>
        <w:ind w:left="318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6D3239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Կատարողի ակտիվները կենտրոնացված կերպով պետք է կառավարվեն՝ համաձայն ISO/IEC ստանդարտի: </w:t>
      </w:r>
    </w:p>
    <w:p w:rsidR="0041596C" w:rsidRDefault="0041596C" w:rsidP="0041596C">
      <w:pPr>
        <w:spacing w:after="0" w:line="240" w:lineRule="auto"/>
        <w:ind w:firstLine="720"/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</w:p>
    <w:p w:rsidR="0041596C" w:rsidRPr="000B565E" w:rsidRDefault="0041596C" w:rsidP="0041596C">
      <w:pPr>
        <w:ind w:firstLine="720"/>
        <w:jc w:val="both"/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</w:pPr>
      <w:r w:rsidRPr="000B565E"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  <w:t xml:space="preserve">Ծառայությունների մատուցում </w:t>
      </w:r>
    </w:p>
    <w:p w:rsidR="0041596C" w:rsidRPr="000B565E" w:rsidRDefault="0041596C" w:rsidP="0041596C">
      <w:pPr>
        <w:pStyle w:val="Header"/>
        <w:tabs>
          <w:tab w:val="left" w:pos="90"/>
        </w:tabs>
        <w:rPr>
          <w:rFonts w:ascii="GHEA Grapalat" w:hAnsi="GHEA Grapalat" w:cs="Tahoma"/>
          <w:i/>
          <w:noProof/>
          <w:color w:val="000000"/>
          <w:lang w:val="hy-AM"/>
        </w:rPr>
      </w:pPr>
      <w:r w:rsidRPr="000B565E">
        <w:rPr>
          <w:rFonts w:ascii="GHEA Grapalat" w:eastAsia="Calibri" w:hAnsi="GHEA Grapalat" w:cs="Tahoma"/>
          <w:noProof/>
          <w:color w:val="000000"/>
          <w:lang w:val="hy-AM"/>
        </w:rPr>
        <w:lastRenderedPageBreak/>
        <w:t>Կատարողը պետք է՝</w:t>
      </w:r>
    </w:p>
    <w:p w:rsidR="0041596C" w:rsidRPr="000B565E" w:rsidRDefault="0041596C" w:rsidP="0041596C">
      <w:pPr>
        <w:pStyle w:val="ListParagraph"/>
        <w:numPr>
          <w:ilvl w:val="0"/>
          <w:numId w:val="12"/>
        </w:numPr>
        <w:tabs>
          <w:tab w:val="left" w:pos="90"/>
        </w:tabs>
        <w:spacing w:before="0" w:after="0"/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  <w:t>Պորտալում տրամադրի օգտագործողի միջերես՝ ռեսուրսների ուղղակի կառավարման համար՝ առանց մատակարարի միջամտության,</w:t>
      </w:r>
    </w:p>
    <w:p w:rsidR="0041596C" w:rsidRPr="000B565E" w:rsidRDefault="0041596C" w:rsidP="0041596C">
      <w:pPr>
        <w:pStyle w:val="ListParagraph"/>
        <w:numPr>
          <w:ilvl w:val="0"/>
          <w:numId w:val="12"/>
        </w:numPr>
        <w:tabs>
          <w:tab w:val="left" w:pos="90"/>
        </w:tabs>
        <w:spacing w:before="0" w:after="0"/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  <w:t xml:space="preserve">Տրամադրի </w:t>
      </w: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հաշիվների (օգտագործողի հաշիվներ/ամպային հաշիվներ/համակարգի հաշիվներ) ստեղծման և կառավարման կառուցվածքային և ստանդարտացված եղանակ, ինչպես նաև հնարավորություն՝ դիտելու, հետևելու և մշտադիտարկելու բոլոր ռեսուրսները (տվյալներ, ծառայություններ, ենթակառուցվածք), դրանց սպառումը,</w:t>
      </w:r>
    </w:p>
    <w:p w:rsidR="0041596C" w:rsidRPr="000B565E" w:rsidRDefault="0041596C" w:rsidP="0041596C">
      <w:pPr>
        <w:pStyle w:val="NormalWeb"/>
        <w:numPr>
          <w:ilvl w:val="0"/>
          <w:numId w:val="12"/>
        </w:numPr>
        <w:spacing w:before="0" w:beforeAutospacing="0" w:after="0" w:afterAutospacing="0"/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  <w:t>Թույլատրի օգտագործողներին ստեղծել լրացուցիչ օգտատերեր և նրանց տրամադրել հասանելիություն ռեսուրսներին: Տվյալ հնարավորությունը նույնպես պետք է հասանելի լինի՝ օգտագործողի միջերեսի միջոցով,</w:t>
      </w:r>
    </w:p>
    <w:p w:rsidR="0041596C" w:rsidRPr="000B565E" w:rsidRDefault="0041596C" w:rsidP="0041596C">
      <w:pPr>
        <w:pStyle w:val="NormalWeb"/>
        <w:numPr>
          <w:ilvl w:val="0"/>
          <w:numId w:val="12"/>
        </w:numPr>
        <w:spacing w:before="0" w:beforeAutospacing="0" w:after="0" w:afterAutospacing="0"/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  <w:t xml:space="preserve">Ապահովի առանց սահմանափակումների հասանելություն օգտագործողի միջերեսին՝ </w:t>
      </w: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 w:eastAsia="ru-RU"/>
        </w:rPr>
        <w:t>99,9% հասանելիության մակարդակով (համարժեք է տարեկան մոտավորապես 8 ժամ 45 րոպե անհասանելիության)</w:t>
      </w:r>
      <w:r w:rsidRPr="000B565E"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  <w:t>,</w:t>
      </w:r>
    </w:p>
    <w:p w:rsidR="0041596C" w:rsidRPr="000B565E" w:rsidRDefault="0041596C" w:rsidP="0041596C">
      <w:pPr>
        <w:pStyle w:val="ListParagraph"/>
        <w:numPr>
          <w:ilvl w:val="0"/>
          <w:numId w:val="12"/>
        </w:numPr>
        <w:tabs>
          <w:tab w:val="left" w:pos="90"/>
        </w:tabs>
        <w:spacing w:before="0" w:after="0"/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  <w:t>Պատվիրատուին տրամադրի լիարժեք վերահսկողություն իր անվտանգության քաղաքականության նկատմամբ, ներառյալ՝ տվյալների և համակարգերի գաղտնիության, ամբողջականության և հասանելիության սահմանումը,</w:t>
      </w:r>
    </w:p>
    <w:p w:rsidR="0041596C" w:rsidRPr="000B565E" w:rsidRDefault="0041596C" w:rsidP="0041596C">
      <w:pPr>
        <w:pStyle w:val="ListParagraph"/>
        <w:numPr>
          <w:ilvl w:val="0"/>
          <w:numId w:val="12"/>
        </w:numPr>
        <w:tabs>
          <w:tab w:val="left" w:pos="90"/>
        </w:tabs>
        <w:spacing w:before="0" w:after="0"/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Ապահովի օգտատերերի հասանելիության քաղաքականության սահմանման, կիրառման և կառավարման հնարավորություն,</w:t>
      </w:r>
    </w:p>
    <w:p w:rsidR="0041596C" w:rsidRPr="000B565E" w:rsidRDefault="0041596C" w:rsidP="0041596C">
      <w:pPr>
        <w:pStyle w:val="ListParagraph"/>
        <w:numPr>
          <w:ilvl w:val="0"/>
          <w:numId w:val="12"/>
        </w:numPr>
        <w:tabs>
          <w:tab w:val="left" w:pos="90"/>
        </w:tabs>
        <w:spacing w:before="0" w:after="0"/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  <w:t xml:space="preserve">Ապահովի օգտատերերի՝ համապատասխան թույլտվություններով անհատական </w:t>
      </w:r>
      <w:r w:rsidRPr="000B565E">
        <w:rPr>
          <w:rFonts w:ascii="Cambria Math" w:hAnsi="Cambria Math" w:cs="Cambria Math"/>
          <w:bCs/>
          <w:noProof/>
          <w:color w:val="000000"/>
          <w:sz w:val="20"/>
          <w:szCs w:val="20"/>
          <w:lang w:val="hy-AM"/>
        </w:rPr>
        <w:t>​​</w:t>
      </w:r>
      <w:r w:rsidRPr="000B565E"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  <w:t>հաշիվներ և անհատական հաշիվների խմբեր սահմանելու հնարավորություն,</w:t>
      </w:r>
    </w:p>
    <w:p w:rsidR="0041596C" w:rsidRPr="000B565E" w:rsidRDefault="0041596C" w:rsidP="0041596C">
      <w:pPr>
        <w:pStyle w:val="ListParagraph"/>
        <w:numPr>
          <w:ilvl w:val="0"/>
          <w:numId w:val="12"/>
        </w:numPr>
        <w:tabs>
          <w:tab w:val="left" w:pos="90"/>
        </w:tabs>
        <w:spacing w:before="0" w:after="0"/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  <w:t xml:space="preserve">Համաձայն ISO 27001 և ISO 27002 ստանդարտներում նկարագրված հասանելիությունների վերահսկում բաժնի՝ նվազագույնի հասցնի իր անձնակազմի ձեռքով հասանելիությունը դեպի հաշվողական հոսթեր (compute hosts, storage servers): Հաշվողական հոսթերի կառավարման գործողությունների մեծամասնությունը պետք է իրականացվի ինքնաշխատ (automated scripts) եղանակով։  Ձեռքով կատարված և ինքնաշխատ գործողությունները պետք է </w:t>
      </w: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լոգավորվեն և պահպանվեն</w:t>
      </w:r>
      <w:r w:rsidRPr="000B565E">
        <w:rPr>
          <w:rFonts w:ascii="GHEA Grapalat" w:hAnsi="GHEA Grapalat" w:cs="Tahoma"/>
          <w:b/>
          <w:bCs/>
          <w:noProof/>
          <w:color w:val="000000"/>
          <w:sz w:val="20"/>
          <w:szCs w:val="20"/>
          <w:lang w:val="hy-AM"/>
        </w:rPr>
        <w:t xml:space="preserve"> </w:t>
      </w:r>
      <w:r w:rsidRPr="000B565E"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  <w:t>տեղեկամատյաններում (logs) առնվազն 90 օր,</w:t>
      </w:r>
    </w:p>
    <w:p w:rsidR="0041596C" w:rsidRPr="000B565E" w:rsidRDefault="0041596C" w:rsidP="0041596C">
      <w:pPr>
        <w:pStyle w:val="ListParagraph"/>
        <w:numPr>
          <w:ilvl w:val="0"/>
          <w:numId w:val="12"/>
        </w:numPr>
        <w:tabs>
          <w:tab w:val="left" w:pos="90"/>
        </w:tabs>
        <w:spacing w:before="0" w:after="0"/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  <w:t>Պաշտպանի իր կողմից տրամադրվող ծառայությունները հրեպատներով,</w:t>
      </w:r>
    </w:p>
    <w:p w:rsidR="0041596C" w:rsidRPr="000B565E" w:rsidRDefault="0041596C" w:rsidP="0041596C">
      <w:pPr>
        <w:pStyle w:val="ListParagraph"/>
        <w:numPr>
          <w:ilvl w:val="0"/>
          <w:numId w:val="12"/>
        </w:numPr>
        <w:tabs>
          <w:tab w:val="left" w:pos="90"/>
        </w:tabs>
        <w:spacing w:before="0" w:after="0"/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  <w:t>Ապահովի Պատվիրատուի կողմից որոշ հրեպատային ծառայությունների կառավարում, ինչպիսիք են՝ GEO-IP ֆիլտրի կիրառման հնարավորություն, օգտագործողի կողմից կարգավորվող VPN ծառայություն և այլ գործառույթներ (համաձայն Պատվիրատուի պահանջի),</w:t>
      </w:r>
    </w:p>
    <w:p w:rsidR="0041596C" w:rsidRPr="000B565E" w:rsidRDefault="0041596C" w:rsidP="0041596C">
      <w:pPr>
        <w:pStyle w:val="ListParagraph"/>
        <w:numPr>
          <w:ilvl w:val="0"/>
          <w:numId w:val="12"/>
        </w:numPr>
        <w:tabs>
          <w:tab w:val="left" w:pos="90"/>
        </w:tabs>
        <w:spacing w:before="0" w:after="0"/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  <w:t>Ապահովի OSI 3-7 մակարդակներում ցանցային տրաֆիկի ամբողջական կառավարման գործիքակազմ՝ պատվիրատուի տվյալների հոսքի ամբողջ ճանապարհին,</w:t>
      </w:r>
    </w:p>
    <w:p w:rsidR="0041596C" w:rsidRPr="000B565E" w:rsidRDefault="0041596C" w:rsidP="0041596C">
      <w:pPr>
        <w:pStyle w:val="NormalWeb"/>
        <w:numPr>
          <w:ilvl w:val="0"/>
          <w:numId w:val="12"/>
        </w:numPr>
        <w:spacing w:before="0" w:beforeAutospacing="0" w:after="0" w:afterAutospacing="0"/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  <w:t>Ապահովի արտաքին հարձակումներին հակազդող միջոցներ՝ OWASP Top 10 (վերջին ինկորպորացիայի) պահանջներին համապատասխան,</w:t>
      </w:r>
    </w:p>
    <w:p w:rsidR="0041596C" w:rsidRPr="000B565E" w:rsidRDefault="0041596C" w:rsidP="0041596C">
      <w:pPr>
        <w:pStyle w:val="NormalWeb"/>
        <w:numPr>
          <w:ilvl w:val="0"/>
          <w:numId w:val="12"/>
        </w:numPr>
        <w:spacing w:before="0" w:beforeAutospacing="0" w:after="0" w:afterAutospacing="0"/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  <w:t>Ապահովի DDOS հարձակումներին հակազդող միջոց,</w:t>
      </w:r>
    </w:p>
    <w:p w:rsidR="0041596C" w:rsidRPr="000B565E" w:rsidRDefault="0041596C" w:rsidP="0041596C">
      <w:pPr>
        <w:pStyle w:val="NormalWeb"/>
        <w:numPr>
          <w:ilvl w:val="0"/>
          <w:numId w:val="12"/>
        </w:numPr>
        <w:spacing w:before="0" w:beforeAutospacing="0" w:after="0" w:afterAutospacing="0"/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  <w:t>Տրամադրի տվյալների գաղտնագրման հնարավորություն՝ տվյալների պահեստներում և շտեմարաններում,</w:t>
      </w:r>
    </w:p>
    <w:p w:rsidR="0041596C" w:rsidRPr="000B565E" w:rsidRDefault="0041596C" w:rsidP="0041596C">
      <w:pPr>
        <w:pStyle w:val="NormalWeb"/>
        <w:numPr>
          <w:ilvl w:val="0"/>
          <w:numId w:val="12"/>
        </w:numPr>
        <w:spacing w:before="0" w:beforeAutospacing="0" w:after="0" w:afterAutospacing="0"/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  <w:t>Տրամադրի գաղտնագրման բանալիների կառավարման ծառայություն, և որը հնարավորություն կտա Պատվիրատուին Կատարողի բանալիների կառավարման համակարգում ավելացնել, ստեղծել, վերահսկել և ջնջել իր սեփական գաղտնագրման բանալիները,</w:t>
      </w:r>
    </w:p>
    <w:p w:rsidR="0041596C" w:rsidRPr="000B565E" w:rsidRDefault="0041596C" w:rsidP="0041596C">
      <w:pPr>
        <w:pStyle w:val="NormalWeb"/>
        <w:numPr>
          <w:ilvl w:val="0"/>
          <w:numId w:val="12"/>
        </w:numPr>
        <w:spacing w:before="0" w:beforeAutospacing="0" w:after="0" w:afterAutospacing="0"/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  <w:t>Տրամադրի մուտքի բանալիների (access keys) օգտագործման մասին տեղեկատվություն ստանալու, հին բանալիները փոխարինելու և ոչ ակտիվ բանալիները հեռացնելու հնարավորություն,</w:t>
      </w:r>
    </w:p>
    <w:p w:rsidR="0041596C" w:rsidRPr="000B565E" w:rsidRDefault="0041596C" w:rsidP="0041596C">
      <w:pPr>
        <w:pStyle w:val="NormalWeb"/>
        <w:numPr>
          <w:ilvl w:val="0"/>
          <w:numId w:val="12"/>
        </w:numPr>
        <w:spacing w:before="0" w:beforeAutospacing="0" w:after="0" w:afterAutospacing="0"/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  <w:t>Ապահովի գաղտնագրման բանալիների երկարաժամկետ պաշտպանությունը՝ կանխարգելելով դրանց կորուստը կամ չարտոնված փոփոխությունները սարքավորումների խափանումների, ծրագրային ապահովման սխալների, տվյալների կենտրոնի խափանումների կամ այլ խափանումների դեպքում,</w:t>
      </w:r>
    </w:p>
    <w:p w:rsidR="0041596C" w:rsidRPr="000B565E" w:rsidRDefault="0041596C" w:rsidP="0041596C">
      <w:pPr>
        <w:pStyle w:val="NormalWeb"/>
        <w:numPr>
          <w:ilvl w:val="0"/>
          <w:numId w:val="12"/>
        </w:numPr>
        <w:spacing w:before="0" w:beforeAutospacing="0" w:after="0" w:afterAutospacing="0"/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  <w:lastRenderedPageBreak/>
        <w:t>Ապահովի գաղտնագրման բանալիների կառավարման ճկուն տարբերակներ՝ որոնք թույլ կտան Պատվիրատուին ընտրել՝ արդյո՞ք Կատարողն է կառավարում գաղտնագրման բանալիները, թե՞ Պատվիրատուն է ստանձնում ամբողջական վերահսկողությունը,</w:t>
      </w:r>
    </w:p>
    <w:p w:rsidR="0041596C" w:rsidRPr="000B565E" w:rsidRDefault="0041596C" w:rsidP="0041596C">
      <w:pPr>
        <w:pStyle w:val="NormalWeb"/>
        <w:numPr>
          <w:ilvl w:val="0"/>
          <w:numId w:val="12"/>
        </w:numPr>
        <w:spacing w:before="0" w:beforeAutospacing="0" w:after="0" w:afterAutospacing="0"/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  <w:t>Ապահովի Պատվիրատուի կողմից տվյալների լիակատար վերահսկողությունը, ինչպես նաև դրանց պահպանումը պետք է իրականացվի Պատվիրատուի հետ նախապես համաձայնեցված աշխարհագրական վայրերում (հասցեներում),</w:t>
      </w:r>
    </w:p>
    <w:p w:rsidR="0041596C" w:rsidRPr="000B565E" w:rsidRDefault="0041596C" w:rsidP="0041596C">
      <w:pPr>
        <w:pStyle w:val="NormalWeb"/>
        <w:numPr>
          <w:ilvl w:val="0"/>
          <w:numId w:val="12"/>
        </w:numPr>
        <w:spacing w:before="0" w:beforeAutospacing="0" w:after="0" w:afterAutospacing="0"/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  <w:t>Ըստ պահանջի տրամադրի Real Static IP/subnet,</w:t>
      </w:r>
    </w:p>
    <w:p w:rsidR="0041596C" w:rsidRPr="000B565E" w:rsidRDefault="0041596C" w:rsidP="0041596C">
      <w:pPr>
        <w:pStyle w:val="NormalWeb"/>
        <w:numPr>
          <w:ilvl w:val="0"/>
          <w:numId w:val="12"/>
        </w:numPr>
        <w:spacing w:before="0" w:beforeAutospacing="0" w:after="0" w:afterAutospacing="0"/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  <w:t>Թույլատրի Պատվիրատուին օգտագործել սեփական IP հասցեները՝ դինամիկ երթուղիների պրոտոկոլների (BGP, EIGRP, OSPF, etc.) միջոցով,</w:t>
      </w:r>
    </w:p>
    <w:p w:rsidR="0041596C" w:rsidRPr="000B565E" w:rsidRDefault="0041596C" w:rsidP="0041596C">
      <w:pPr>
        <w:pStyle w:val="NormalWeb"/>
        <w:numPr>
          <w:ilvl w:val="0"/>
          <w:numId w:val="12"/>
        </w:numPr>
        <w:spacing w:before="0" w:beforeAutospacing="0" w:after="0" w:afterAutospacing="0"/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  <w:t>Իրականացնի տվյալների պահուստային տարբերակների կանոնակարգի (backup policy) և ժամանակացույցի (schedule) մշակումը և կառավարումն՝ ըստ պահանջի,</w:t>
      </w:r>
    </w:p>
    <w:p w:rsidR="0041596C" w:rsidRPr="000B565E" w:rsidRDefault="0041596C" w:rsidP="0041596C">
      <w:pPr>
        <w:pStyle w:val="NormalWeb"/>
        <w:numPr>
          <w:ilvl w:val="0"/>
          <w:numId w:val="12"/>
        </w:numPr>
        <w:spacing w:before="0" w:beforeAutospacing="0" w:after="0" w:afterAutospacing="0"/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Ապահովի ռեսուրսների օգտագործման համար իրականացված վճարները՝ հաշվետվությունների և արտապատկերումների միջոցով՝ իրական ժամանակում տեսնելու և վերահսկելու մեխանիզմ։ Կատարողը նաև պետք է տրամադրի տվյալ ամսվա ռեսուրսների օգտագործման քանակի և վճարումների մասին տեղեկատվություն (համաձայնեցված ժամկետներում)՝ ինչպես մանրամասն, այնպես էլ ամփոփ տարբերակներով,</w:t>
      </w:r>
    </w:p>
    <w:p w:rsidR="0041596C" w:rsidRPr="000B565E" w:rsidRDefault="0041596C" w:rsidP="0041596C">
      <w:pPr>
        <w:pStyle w:val="NormalWeb"/>
        <w:numPr>
          <w:ilvl w:val="0"/>
          <w:numId w:val="12"/>
        </w:numPr>
        <w:spacing w:before="0" w:beforeAutospacing="0" w:after="0" w:afterAutospacing="0"/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Ապահովի օգտագործված ռեսուրսների քանակի և ծախսերի  օրինաչափությունների արտապատկերման, ինչպես նաև ապագա ծախսերի կանխատեսման մեխանիզմ,</w:t>
      </w:r>
    </w:p>
    <w:p w:rsidR="0041596C" w:rsidRPr="000B565E" w:rsidRDefault="0041596C" w:rsidP="0041596C">
      <w:pPr>
        <w:pStyle w:val="NormalWeb"/>
        <w:numPr>
          <w:ilvl w:val="0"/>
          <w:numId w:val="12"/>
        </w:numPr>
        <w:spacing w:before="0" w:beforeAutospacing="0" w:after="0" w:afterAutospacing="0"/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Տրամադրի ռեսուրսների ամսեկան, եռամսյակային և ըստ օգտատերերի կամ օգտատերերի խմբերի սպառման շեմերի սահմանման և այդ շեմերը հատելու ծանուցումների ուղարկման ճկուն գործիքակազմ, օրինակ՝ ծանուցումների ուղարկում էլեկտրոնային փոստով կամ </w:t>
      </w:r>
      <w:r w:rsidRPr="000B565E"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  <w:t>օգտագործողի միջերեսի միջոցով</w:t>
      </w: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։ Գործիքակազմը պետք է ապահովի նախընտրած շեմեր սահմանելու և դրանք հեշտությամբ փոփոխելու ֆունկցիոնալություն։ Շեմերը պետք է լինեն ինչպես համամասնային (% of grand total), այնպես էլ հստակ արժեքներով (value),</w:t>
      </w:r>
    </w:p>
    <w:p w:rsidR="0041596C" w:rsidRPr="000B565E" w:rsidRDefault="0041596C" w:rsidP="0041596C">
      <w:pPr>
        <w:pStyle w:val="NormalWeb"/>
        <w:numPr>
          <w:ilvl w:val="0"/>
          <w:numId w:val="12"/>
        </w:numPr>
        <w:spacing w:before="0" w:beforeAutospacing="0" w:after="0" w:afterAutospacing="0"/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Ապահովի ծառայությունների կատարողականի վերաբերյալ տեղեկատվություն՝ սույն հավելվածում ներկայացված պահանջների հետ համեմատական վերլուծության հիման վրա, հաշվետվությունների և արտապատկերումների միջոցով։</w:t>
      </w:r>
      <w:r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br/>
      </w:r>
    </w:p>
    <w:p w:rsidR="0041596C" w:rsidRPr="000B565E" w:rsidRDefault="0041596C" w:rsidP="0041596C">
      <w:pPr>
        <w:ind w:firstLine="720"/>
        <w:jc w:val="both"/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</w:pPr>
      <w:r w:rsidRPr="000B565E"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  <w:t>Դեպի Կատարողի միջավայր միգրացիայի պահանջներ</w:t>
      </w:r>
    </w:p>
    <w:p w:rsidR="0041596C" w:rsidRPr="000B565E" w:rsidRDefault="0041596C" w:rsidP="0041596C">
      <w:pPr>
        <w:pStyle w:val="NormalWeb"/>
        <w:numPr>
          <w:ilvl w:val="0"/>
          <w:numId w:val="13"/>
        </w:numPr>
        <w:spacing w:before="0" w:beforeAutospacing="0" w:after="0" w:afterAutospacing="0"/>
        <w:textAlignment w:val="baseline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Կատարողը պետք է ապահովի Պատվիրատուի տեղային կամ այլ մատակարարների միջավայրերից ծառայությունների միգրացիայի գործիքակազմը, որը ներառում է սերվերներ, տվյալների շտեմարաններ, հավելվածներ և այլ ծառայություններ՝ ըստ Պատվիրատուի պահանջի:</w:t>
      </w:r>
    </w:p>
    <w:p w:rsidR="0041596C" w:rsidRPr="000B565E" w:rsidRDefault="0041596C" w:rsidP="0041596C">
      <w:pPr>
        <w:pStyle w:val="NormalWeb"/>
        <w:numPr>
          <w:ilvl w:val="0"/>
          <w:numId w:val="13"/>
        </w:numPr>
        <w:spacing w:before="0" w:beforeAutospacing="0" w:after="0" w:afterAutospacing="0"/>
        <w:textAlignment w:val="baseline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Կատարողը չի սահմանափակում միգրացիայի ենթակա համակարգերի տեսակները։ Տարբեր վիրտուալիացիոն հարթակների (օր</w:t>
      </w:r>
      <w:r w:rsidRPr="000B565E">
        <w:rPr>
          <w:rFonts w:ascii="Cambria Math" w:eastAsia="MS Mincho" w:hAnsi="Cambria Math" w:cs="Cambria Math"/>
          <w:noProof/>
          <w:color w:val="000000"/>
          <w:sz w:val="20"/>
          <w:szCs w:val="20"/>
          <w:lang w:val="hy-AM"/>
        </w:rPr>
        <w:t>․</w:t>
      </w:r>
      <w:r w:rsidRPr="000B565E">
        <w:rPr>
          <w:rFonts w:ascii="GHEA Grapalat" w:eastAsia="MS Mincho" w:hAnsi="GHEA Grapalat" w:cs="Tahoma"/>
          <w:noProof/>
          <w:color w:val="000000"/>
          <w:sz w:val="20"/>
          <w:szCs w:val="20"/>
          <w:lang w:val="hy-AM"/>
        </w:rPr>
        <w:t xml:space="preserve">՝ VMware, HyperV, etc.) </w:t>
      </w: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 միգրացիայի պահանջի առկայության դեպքում Պատվիրատուն </w:t>
      </w:r>
      <w:r w:rsidRPr="000B565E">
        <w:rPr>
          <w:rFonts w:ascii="Calibri" w:hAnsi="Calibri" w:cs="Calibri"/>
          <w:noProof/>
          <w:color w:val="000000"/>
          <w:sz w:val="20"/>
          <w:szCs w:val="20"/>
          <w:lang w:val="hy-AM"/>
        </w:rPr>
        <w:t> </w:t>
      </w:r>
      <w:r w:rsidRPr="000B565E">
        <w:rPr>
          <w:rFonts w:ascii="GHEA Grapalat" w:hAnsi="GHEA Grapalat" w:cs="GHEA Grapalat"/>
          <w:noProof/>
          <w:color w:val="000000"/>
          <w:sz w:val="20"/>
          <w:szCs w:val="20"/>
          <w:lang w:val="hy-AM"/>
        </w:rPr>
        <w:t>նախապես</w:t>
      </w: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 </w:t>
      </w:r>
      <w:r w:rsidRPr="000B565E">
        <w:rPr>
          <w:rFonts w:ascii="GHEA Grapalat" w:hAnsi="GHEA Grapalat" w:cs="GHEA Grapalat"/>
          <w:noProof/>
          <w:color w:val="000000"/>
          <w:sz w:val="20"/>
          <w:szCs w:val="20"/>
          <w:lang w:val="hy-AM"/>
        </w:rPr>
        <w:t>տեղեկացնում</w:t>
      </w: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 </w:t>
      </w:r>
      <w:r w:rsidRPr="000B565E">
        <w:rPr>
          <w:rFonts w:ascii="GHEA Grapalat" w:hAnsi="GHEA Grapalat" w:cs="GHEA Grapalat"/>
          <w:noProof/>
          <w:color w:val="000000"/>
          <w:sz w:val="20"/>
          <w:szCs w:val="20"/>
          <w:lang w:val="hy-AM"/>
        </w:rPr>
        <w:t>է</w:t>
      </w: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 </w:t>
      </w:r>
      <w:r w:rsidRPr="000B565E">
        <w:rPr>
          <w:rFonts w:ascii="GHEA Grapalat" w:hAnsi="GHEA Grapalat" w:cs="GHEA Grapalat"/>
          <w:noProof/>
          <w:color w:val="000000"/>
          <w:sz w:val="20"/>
          <w:szCs w:val="20"/>
          <w:lang w:val="hy-AM"/>
        </w:rPr>
        <w:t>Կատարողին</w:t>
      </w: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 </w:t>
      </w:r>
      <w:r w:rsidRPr="000B565E">
        <w:rPr>
          <w:rFonts w:ascii="GHEA Grapalat" w:hAnsi="GHEA Grapalat" w:cs="GHEA Grapalat"/>
          <w:noProof/>
          <w:color w:val="000000"/>
          <w:sz w:val="20"/>
          <w:szCs w:val="20"/>
          <w:lang w:val="hy-AM"/>
        </w:rPr>
        <w:t>էլեկտրոնային</w:t>
      </w: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 </w:t>
      </w:r>
      <w:r w:rsidRPr="000B565E">
        <w:rPr>
          <w:rFonts w:ascii="GHEA Grapalat" w:hAnsi="GHEA Grapalat" w:cs="GHEA Grapalat"/>
          <w:noProof/>
          <w:color w:val="000000"/>
          <w:sz w:val="20"/>
          <w:szCs w:val="20"/>
          <w:lang w:val="hy-AM"/>
        </w:rPr>
        <w:t>փոստի</w:t>
      </w: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 </w:t>
      </w:r>
      <w:r w:rsidRPr="000B565E">
        <w:rPr>
          <w:rFonts w:ascii="GHEA Grapalat" w:hAnsi="GHEA Grapalat" w:cs="GHEA Grapalat"/>
          <w:noProof/>
          <w:color w:val="000000"/>
          <w:sz w:val="20"/>
          <w:szCs w:val="20"/>
          <w:lang w:val="hy-AM"/>
        </w:rPr>
        <w:t>միջոցով՝</w:t>
      </w: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 </w:t>
      </w:r>
      <w:r w:rsidRPr="000B565E">
        <w:rPr>
          <w:rFonts w:ascii="GHEA Grapalat" w:hAnsi="GHEA Grapalat" w:cs="GHEA Grapalat"/>
          <w:noProof/>
          <w:color w:val="000000"/>
          <w:sz w:val="20"/>
          <w:szCs w:val="20"/>
          <w:lang w:val="hy-AM"/>
        </w:rPr>
        <w:t>նշելով</w:t>
      </w: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 </w:t>
      </w:r>
      <w:r w:rsidRPr="000B565E">
        <w:rPr>
          <w:rFonts w:ascii="Calibri" w:hAnsi="Calibri" w:cs="Calibri"/>
          <w:noProof/>
          <w:color w:val="000000"/>
          <w:sz w:val="20"/>
          <w:szCs w:val="20"/>
          <w:lang w:val="hy-AM"/>
        </w:rPr>
        <w:t> </w:t>
      </w:r>
      <w:r w:rsidRPr="000B565E">
        <w:rPr>
          <w:rFonts w:ascii="GHEA Grapalat" w:hAnsi="GHEA Grapalat" w:cs="GHEA Grapalat"/>
          <w:noProof/>
          <w:color w:val="000000"/>
          <w:sz w:val="20"/>
          <w:szCs w:val="20"/>
          <w:lang w:val="hy-AM"/>
        </w:rPr>
        <w:t>միգրացիայի</w:t>
      </w: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 </w:t>
      </w:r>
      <w:r w:rsidRPr="000B565E">
        <w:rPr>
          <w:rFonts w:ascii="GHEA Grapalat" w:hAnsi="GHEA Grapalat" w:cs="GHEA Grapalat"/>
          <w:noProof/>
          <w:color w:val="000000"/>
          <w:sz w:val="20"/>
          <w:szCs w:val="20"/>
          <w:lang w:val="hy-AM"/>
        </w:rPr>
        <w:t>ենթակա</w:t>
      </w: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 </w:t>
      </w:r>
      <w:r w:rsidRPr="000B565E">
        <w:rPr>
          <w:rFonts w:ascii="GHEA Grapalat" w:hAnsi="GHEA Grapalat" w:cs="GHEA Grapalat"/>
          <w:noProof/>
          <w:color w:val="000000"/>
          <w:sz w:val="20"/>
          <w:szCs w:val="20"/>
          <w:lang w:val="hy-AM"/>
        </w:rPr>
        <w:t>համակարգի</w:t>
      </w: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 </w:t>
      </w:r>
      <w:r w:rsidRPr="000B565E">
        <w:rPr>
          <w:rFonts w:ascii="GHEA Grapalat" w:hAnsi="GHEA Grapalat" w:cs="GHEA Grapalat"/>
          <w:noProof/>
          <w:color w:val="000000"/>
          <w:sz w:val="20"/>
          <w:szCs w:val="20"/>
          <w:lang w:val="hy-AM"/>
        </w:rPr>
        <w:t>անունը</w:t>
      </w: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 </w:t>
      </w:r>
      <w:r w:rsidRPr="000B565E">
        <w:rPr>
          <w:rFonts w:ascii="GHEA Grapalat" w:hAnsi="GHEA Grapalat" w:cs="GHEA Grapalat"/>
          <w:noProof/>
          <w:color w:val="000000"/>
          <w:sz w:val="20"/>
          <w:szCs w:val="20"/>
          <w:lang w:val="hy-AM"/>
        </w:rPr>
        <w:t>և</w:t>
      </w: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 </w:t>
      </w:r>
      <w:r w:rsidRPr="000B565E">
        <w:rPr>
          <w:rFonts w:ascii="GHEA Grapalat" w:hAnsi="GHEA Grapalat" w:cs="GHEA Grapalat"/>
          <w:noProof/>
          <w:color w:val="000000"/>
          <w:sz w:val="20"/>
          <w:szCs w:val="20"/>
          <w:lang w:val="hy-AM"/>
        </w:rPr>
        <w:t>այլ</w:t>
      </w: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 </w:t>
      </w:r>
      <w:r w:rsidRPr="000B565E">
        <w:rPr>
          <w:rFonts w:ascii="GHEA Grapalat" w:hAnsi="GHEA Grapalat" w:cs="GHEA Grapalat"/>
          <w:noProof/>
          <w:color w:val="000000"/>
          <w:sz w:val="20"/>
          <w:szCs w:val="20"/>
          <w:lang w:val="hy-AM"/>
        </w:rPr>
        <w:t>անհրաժեշտ</w:t>
      </w: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 </w:t>
      </w:r>
      <w:r w:rsidRPr="000B565E">
        <w:rPr>
          <w:rFonts w:ascii="GHEA Grapalat" w:hAnsi="GHEA Grapalat" w:cs="GHEA Grapalat"/>
          <w:noProof/>
          <w:color w:val="000000"/>
          <w:sz w:val="20"/>
          <w:szCs w:val="20"/>
          <w:lang w:val="hy-AM"/>
        </w:rPr>
        <w:t>տեղեկատվություն։</w:t>
      </w:r>
    </w:p>
    <w:p w:rsidR="0041596C" w:rsidRPr="000B565E" w:rsidRDefault="0041596C" w:rsidP="0041596C">
      <w:pPr>
        <w:pStyle w:val="NormalWeb"/>
        <w:numPr>
          <w:ilvl w:val="0"/>
          <w:numId w:val="13"/>
        </w:numPr>
        <w:spacing w:before="0" w:beforeAutospacing="0" w:after="0" w:afterAutospacing="0"/>
        <w:textAlignment w:val="baseline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Լայնամասշտաբ միգրացիայի դեպքում Կատարողը պետք է ապահովի միգրացիայի ավտոմատացման հնարավորություն, որն ապահովում է կրկնվող և կայուն (consistent) միգրացիոն գործողությունների իրականացում:</w:t>
      </w:r>
    </w:p>
    <w:p w:rsidR="0041596C" w:rsidRPr="000B565E" w:rsidRDefault="0041596C" w:rsidP="0041596C">
      <w:pPr>
        <w:pStyle w:val="NormalWeb"/>
        <w:numPr>
          <w:ilvl w:val="0"/>
          <w:numId w:val="13"/>
        </w:numPr>
        <w:spacing w:before="0" w:beforeAutospacing="0" w:after="0" w:afterAutospacing="0"/>
        <w:textAlignment w:val="baseline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Հաշվի առնելով  միգրացիայի աղբյուր և նպատակակետ հանդիսացող հարթակների (source/destination platforms) և միգրացիայի գործիքների պաշտոնական համատեղելիության փաստաթղթերը Կատարող պետք է ապահովի հետմիգրացիոն գործիքներ՝ հաստատելու տվյալների ճշգրտությունը, ամբողջականությունը և համատեղելիությունը:</w:t>
      </w:r>
    </w:p>
    <w:p w:rsidR="0041596C" w:rsidRPr="000B565E" w:rsidRDefault="0041596C" w:rsidP="0041596C">
      <w:pPr>
        <w:pStyle w:val="NormalWeb"/>
        <w:numPr>
          <w:ilvl w:val="0"/>
          <w:numId w:val="13"/>
        </w:numPr>
        <w:spacing w:before="0" w:beforeAutospacing="0" w:after="0" w:afterAutospacing="0"/>
        <w:textAlignment w:val="baseline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Պատվիրատուի կողմից հին (Legacy) համակարգերի միգրացիայի պահանջի առկայության դեպքում՝ հաշվի առնելով  միգրացիայի աղբյուր և նպատակակետ հանդիսացող հարթակների (source/destination platforms) և միգրացիայի գործիքների պաշտոնական համատեղելիության </w:t>
      </w: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lastRenderedPageBreak/>
        <w:t>փաստաթղթերը Կատարողը պետք է իրականացնի խորհրդատվություն և առաջարկի համապատասխան լուծումներ, որոնք ապահովում են հին համակարգերի աշխատունակությունն և համատեղելիությունն Կատարողի միջավայրում:</w:t>
      </w:r>
    </w:p>
    <w:p w:rsidR="0041596C" w:rsidRPr="000B565E" w:rsidRDefault="0041596C" w:rsidP="0041596C">
      <w:pPr>
        <w:pStyle w:val="NormalWeb"/>
        <w:numPr>
          <w:ilvl w:val="0"/>
          <w:numId w:val="13"/>
        </w:numPr>
        <w:spacing w:before="0" w:beforeAutospacing="0" w:after="0" w:afterAutospacing="0"/>
        <w:textAlignment w:val="baseline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Կատարողը պետք է ապահովի ռեսուրսների մինչև 200% մասշտաբայնացման հնարավորություն՝ ըստ Պատվիրատուի պահանջի, լայնածավալ միգրացիայի ընթացքում ծանրաբեռնվածությունը կարգավորելու նպատակով(ժամկետները հավելյալ համաձայնեցվում է մատակարարի հետ):</w:t>
      </w:r>
    </w:p>
    <w:p w:rsidR="0041596C" w:rsidRPr="000B565E" w:rsidRDefault="0041596C" w:rsidP="0041596C">
      <w:pPr>
        <w:pStyle w:val="NormalWeb"/>
        <w:numPr>
          <w:ilvl w:val="0"/>
          <w:numId w:val="13"/>
        </w:numPr>
        <w:spacing w:before="0" w:beforeAutospacing="0" w:after="0" w:afterAutospacing="0"/>
        <w:textAlignment w:val="baseline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Կատարողը պետք է ապահովի միգրացիայի աջակցության ծառայություններ, ներառյալ՝ մասնագիտական </w:t>
      </w:r>
      <w:r w:rsidRPr="000B565E">
        <w:rPr>
          <w:rFonts w:ascii="Cambria Math" w:hAnsi="Cambria Math" w:cs="Cambria Math"/>
          <w:noProof/>
          <w:color w:val="000000"/>
          <w:sz w:val="20"/>
          <w:szCs w:val="20"/>
          <w:lang w:val="hy-AM"/>
        </w:rPr>
        <w:t>​​</w:t>
      </w:r>
      <w:r w:rsidRPr="000B565E">
        <w:rPr>
          <w:rFonts w:ascii="GHEA Grapalat" w:hAnsi="GHEA Grapalat" w:cs="GHEA Grapalat"/>
          <w:noProof/>
          <w:color w:val="000000"/>
          <w:sz w:val="20"/>
          <w:szCs w:val="20"/>
          <w:lang w:val="hy-AM"/>
        </w:rPr>
        <w:t>ուղղորդում</w:t>
      </w: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 </w:t>
      </w:r>
      <w:r w:rsidRPr="000B565E">
        <w:rPr>
          <w:rFonts w:ascii="GHEA Grapalat" w:hAnsi="GHEA Grapalat" w:cs="GHEA Grapalat"/>
          <w:noProof/>
          <w:color w:val="000000"/>
          <w:sz w:val="20"/>
          <w:szCs w:val="20"/>
          <w:lang w:val="hy-AM"/>
        </w:rPr>
        <w:t>և</w:t>
      </w: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 </w:t>
      </w:r>
      <w:r w:rsidRPr="000B565E">
        <w:rPr>
          <w:rFonts w:ascii="GHEA Grapalat" w:hAnsi="GHEA Grapalat" w:cs="GHEA Grapalat"/>
          <w:noProof/>
          <w:color w:val="000000"/>
          <w:sz w:val="20"/>
          <w:szCs w:val="20"/>
          <w:lang w:val="hy-AM"/>
        </w:rPr>
        <w:t>խորհրդատվություն՝</w:t>
      </w: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 </w:t>
      </w:r>
      <w:r w:rsidRPr="000B565E">
        <w:rPr>
          <w:rFonts w:ascii="GHEA Grapalat" w:hAnsi="GHEA Grapalat" w:cs="GHEA Grapalat"/>
          <w:noProof/>
          <w:color w:val="000000"/>
          <w:sz w:val="20"/>
          <w:szCs w:val="20"/>
          <w:lang w:val="hy-AM"/>
        </w:rPr>
        <w:t>անվճար</w:t>
      </w: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 </w:t>
      </w:r>
      <w:r w:rsidRPr="000B565E">
        <w:rPr>
          <w:rFonts w:ascii="GHEA Grapalat" w:hAnsi="GHEA Grapalat" w:cs="GHEA Grapalat"/>
          <w:noProof/>
          <w:color w:val="000000"/>
          <w:sz w:val="20"/>
          <w:szCs w:val="20"/>
          <w:lang w:val="hy-AM"/>
        </w:rPr>
        <w:t>հիմունքներով</w:t>
      </w: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, </w:t>
      </w:r>
      <w:r w:rsidRPr="000B565E">
        <w:rPr>
          <w:rFonts w:ascii="GHEA Grapalat" w:hAnsi="GHEA Grapalat" w:cs="GHEA Grapalat"/>
          <w:noProof/>
          <w:color w:val="000000"/>
          <w:sz w:val="20"/>
          <w:szCs w:val="20"/>
          <w:lang w:val="hy-AM"/>
        </w:rPr>
        <w:t>ինչպես</w:t>
      </w: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 նաև անհրաժեշտության դեպքում տեխնիկական օժանդակություն:</w:t>
      </w:r>
    </w:p>
    <w:p w:rsidR="0041596C" w:rsidRPr="000B565E" w:rsidRDefault="0041596C" w:rsidP="0041596C">
      <w:pPr>
        <w:pStyle w:val="NormalWeb"/>
        <w:numPr>
          <w:ilvl w:val="0"/>
          <w:numId w:val="13"/>
        </w:numPr>
        <w:spacing w:before="0" w:beforeAutospacing="0" w:after="0" w:afterAutospacing="0"/>
        <w:textAlignment w:val="baseline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Տվյալների շտեմարանի պլանավորված միգրացիայի ընթացքում Կատարողը պետք է ապահովի իր կողմից տրամադրվող ծառայությունների </w:t>
      </w: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 w:eastAsia="ru-RU"/>
        </w:rPr>
        <w:t>99,9% հասանելիության մակարդակ (համարժեք է տարեկան մոտավորապես 8 ժամ 45 րոպե անհասանելիության)</w:t>
      </w: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։ </w:t>
      </w:r>
    </w:p>
    <w:p w:rsidR="0041596C" w:rsidRPr="000B565E" w:rsidRDefault="0041596C" w:rsidP="0041596C">
      <w:pPr>
        <w:pStyle w:val="NormalWeb"/>
        <w:numPr>
          <w:ilvl w:val="0"/>
          <w:numId w:val="13"/>
        </w:numPr>
        <w:spacing w:before="0" w:beforeAutospacing="0" w:after="0" w:afterAutospacing="0"/>
        <w:textAlignment w:val="baseline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Կատարողը պետք է ապահովի կենտրոնացված ծառայություն, որը թույլ կտա  Պատվիրատուին իրական ժամանակում վերահսկել սերվերների և հավելվածների միգրացիայի կարգավիճակը և կատարողականը (օրինակ՝ սխալների քանակ, ուղղումներ և այլն):</w:t>
      </w:r>
    </w:p>
    <w:p w:rsidR="0041596C" w:rsidRPr="000B565E" w:rsidRDefault="0041596C" w:rsidP="0041596C">
      <w:pPr>
        <w:pStyle w:val="NormalWeb"/>
        <w:numPr>
          <w:ilvl w:val="0"/>
          <w:numId w:val="13"/>
        </w:numPr>
        <w:spacing w:before="0" w:beforeAutospacing="0" w:after="0" w:afterAutospacing="0"/>
        <w:textAlignment w:val="baseline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Կատարողը պետք է տրամադրի միգրացիայի կարգավիճակի, համապատասխան չափորոշիչների և միգրացիայի պատմության արտապատկերման գործիքակազմ:</w:t>
      </w:r>
      <w:r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br/>
      </w:r>
    </w:p>
    <w:p w:rsidR="0041596C" w:rsidRPr="000B565E" w:rsidRDefault="0041596C" w:rsidP="0041596C">
      <w:pPr>
        <w:ind w:firstLine="720"/>
        <w:jc w:val="both"/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</w:pPr>
      <w:r w:rsidRPr="000B565E"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  <w:t xml:space="preserve">Կատարողի միջավայրից ելքի ծրագրի (exit plan) պահանջներ </w:t>
      </w:r>
    </w:p>
    <w:p w:rsidR="0041596C" w:rsidRPr="000B565E" w:rsidRDefault="0041596C" w:rsidP="0041596C">
      <w:pPr>
        <w:pStyle w:val="NormalWeb"/>
        <w:numPr>
          <w:ilvl w:val="0"/>
          <w:numId w:val="14"/>
        </w:numPr>
        <w:spacing w:before="0" w:beforeAutospacing="0" w:after="0" w:afterAutospacing="0"/>
        <w:textAlignment w:val="baseline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Կատարողը</w:t>
      </w:r>
      <w:r w:rsidRPr="000B565E">
        <w:rPr>
          <w:rStyle w:val="PageNumber"/>
          <w:rFonts w:ascii="GHEA Grapalat" w:eastAsia="Aptos" w:hAnsi="GHEA Grapalat" w:cs="Tahoma"/>
          <w:noProof/>
          <w:color w:val="000000"/>
          <w:sz w:val="20"/>
          <w:szCs w:val="20"/>
          <w:lang w:val="hy-AM"/>
        </w:rPr>
        <w:t xml:space="preserve"> պետք է </w:t>
      </w: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տրամադրի իր միջավայրից դեպի Պատվիրատուի տեղային կամ այլ մատակարարի միջավայր տեղափոխվելու գործիքակազմ, ելքի ծրագիր (exit plan) և ծառայություններ, առանց Կատարողի միջավայրում արգելափակման (vendor lock-in):</w:t>
      </w:r>
    </w:p>
    <w:p w:rsidR="0041596C" w:rsidRPr="000B565E" w:rsidRDefault="0041596C" w:rsidP="0041596C">
      <w:pPr>
        <w:pStyle w:val="NormalWeb"/>
        <w:numPr>
          <w:ilvl w:val="0"/>
          <w:numId w:val="14"/>
        </w:numPr>
        <w:spacing w:before="0" w:beforeAutospacing="0" w:after="0" w:afterAutospacing="0"/>
        <w:textAlignment w:val="baseline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Կատարողը պետք է ապահովի տվյալների տեղափոխման թափանցիկ և ստանդարտացված ընթացակարգ՝ ապահովելով գործիքակազմի, API-ների և գործընթացների հստակությունը:</w:t>
      </w:r>
    </w:p>
    <w:p w:rsidR="0041596C" w:rsidRPr="000B565E" w:rsidRDefault="0041596C" w:rsidP="0041596C">
      <w:pPr>
        <w:pStyle w:val="NormalWeb"/>
        <w:numPr>
          <w:ilvl w:val="0"/>
          <w:numId w:val="14"/>
        </w:numPr>
        <w:spacing w:before="0" w:beforeAutospacing="0" w:after="0" w:afterAutospacing="0"/>
        <w:textAlignment w:val="baseline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Կատարողը պետք է տրամադրի միգրացիայի աջակցության անհատականացված ծառայություններ, ներառյալ՝ տեխնիկական և խորհրդատվական աջակցություն՝ Պատվիրատուի տվյալների տեղափոխման հատուկ կարիքների համար:</w:t>
      </w:r>
    </w:p>
    <w:p w:rsidR="0041596C" w:rsidRPr="000B565E" w:rsidRDefault="0041596C" w:rsidP="0041596C">
      <w:pPr>
        <w:pStyle w:val="NormalWeb"/>
        <w:numPr>
          <w:ilvl w:val="0"/>
          <w:numId w:val="14"/>
        </w:numPr>
        <w:spacing w:before="0" w:beforeAutospacing="0" w:after="0" w:afterAutospacing="0"/>
        <w:textAlignment w:val="baseline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Կատարողը պետք է ապահովի տվյալների սահուն միգրացիան, </w:t>
      </w:r>
    </w:p>
    <w:p w:rsidR="0041596C" w:rsidRPr="000B565E" w:rsidRDefault="0041596C" w:rsidP="0041596C">
      <w:pPr>
        <w:pStyle w:val="NormalWeb"/>
        <w:numPr>
          <w:ilvl w:val="0"/>
          <w:numId w:val="14"/>
        </w:numPr>
        <w:spacing w:before="0" w:beforeAutospacing="0" w:after="0" w:afterAutospacing="0"/>
        <w:textAlignment w:val="baseline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Պատվիրատուի տեղային կամ այլ մատակարարի միջավայր տեղափոխվելու դեպքում Կատարողը չպետք է  ներկայացնի ավելորդ վճարների պահանջ, քան նախատեսված է պայմանագրի դրույթներով կամ այլ սահմանափակումներ:</w:t>
      </w:r>
    </w:p>
    <w:p w:rsidR="0041596C" w:rsidRPr="000B565E" w:rsidRDefault="0041596C" w:rsidP="0041596C">
      <w:pPr>
        <w:pStyle w:val="NormalWeb"/>
        <w:numPr>
          <w:ilvl w:val="0"/>
          <w:numId w:val="14"/>
        </w:numPr>
        <w:spacing w:before="0" w:beforeAutospacing="0" w:after="0" w:afterAutospacing="0"/>
        <w:textAlignment w:val="baseline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Կատարողը պետք է ապահովի տվյալների արտահանումը Պատվիրատուի կողմից սահմանված ձևաչափերին և պրոտոկոլներին համապատասխան:</w:t>
      </w:r>
    </w:p>
    <w:p w:rsidR="0041596C" w:rsidRPr="000B565E" w:rsidRDefault="0041596C" w:rsidP="0041596C">
      <w:pPr>
        <w:pStyle w:val="NormalWeb"/>
        <w:numPr>
          <w:ilvl w:val="0"/>
          <w:numId w:val="14"/>
        </w:numPr>
        <w:spacing w:before="0" w:beforeAutospacing="0" w:after="0" w:afterAutospacing="0"/>
        <w:textAlignment w:val="baseline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Կատարողը պետք է ապահովի կենտրոնացված ծառայություն, որի միջոցով Պատվիրատուն կարող է իրական ժամանակում վերահսկել իր սերվերների և հավելվածների միգրացիայի կարգավիճակը և կատարողականը (օրինակ՝ սխալների քանակ, ուղղումներ և այլն):</w:t>
      </w:r>
    </w:p>
    <w:p w:rsidR="0041596C" w:rsidRPr="000B565E" w:rsidRDefault="0041596C" w:rsidP="0041596C">
      <w:pPr>
        <w:pStyle w:val="NormalWeb"/>
        <w:numPr>
          <w:ilvl w:val="0"/>
          <w:numId w:val="14"/>
        </w:numPr>
        <w:spacing w:before="0" w:beforeAutospacing="0" w:after="0" w:afterAutospacing="0"/>
        <w:textAlignment w:val="baseline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Միգրացիայի ավարտից հետո Կատարողը պետք է ապահովի Պատվիրատուի բոլոր տվյալների անվտանգ ջնջումը` և անհրաժեշտության դեպքում, պետք է տրամադրի ապացույցներ (օրինակ՝ ոչնչացման ակտ):</w:t>
      </w:r>
      <w:r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br/>
      </w:r>
    </w:p>
    <w:p w:rsidR="0041596C" w:rsidRPr="000B565E" w:rsidRDefault="0041596C" w:rsidP="0041596C">
      <w:pPr>
        <w:ind w:firstLine="720"/>
        <w:jc w:val="both"/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</w:pPr>
      <w:r w:rsidRPr="000B565E"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  <w:t>Բիզնես անընդհատության, աղետների դիմակայման և վերականգման ծրագրեր</w:t>
      </w:r>
    </w:p>
    <w:p w:rsidR="0041596C" w:rsidRPr="000B565E" w:rsidRDefault="0041596C" w:rsidP="0041596C">
      <w:pPr>
        <w:pStyle w:val="NormalWeb"/>
        <w:numPr>
          <w:ilvl w:val="0"/>
          <w:numId w:val="11"/>
        </w:numPr>
        <w:spacing w:before="0" w:beforeAutospacing="0" w:after="0" w:afterAutospacing="0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Կատարողը պարտավոր է ունենալ Բիզնես անընդհատության և աղետների դիմակայման ծրագիր (այսուհետ՝ Ծրագիր)։</w:t>
      </w:r>
    </w:p>
    <w:p w:rsidR="0041596C" w:rsidRPr="000B565E" w:rsidRDefault="0041596C" w:rsidP="0041596C">
      <w:pPr>
        <w:pStyle w:val="NormalWeb"/>
        <w:numPr>
          <w:ilvl w:val="0"/>
          <w:numId w:val="11"/>
        </w:numPr>
        <w:spacing w:before="0" w:beforeAutospacing="0" w:after="0" w:afterAutospacing="0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>Կատարողը պետք է ունենա բնական աղետների արձագանքման և դրանց ազդեցությունը նվազեցնելու գործիքակազմ։</w:t>
      </w:r>
    </w:p>
    <w:p w:rsidR="0041596C" w:rsidRPr="000B565E" w:rsidRDefault="0041596C" w:rsidP="0041596C">
      <w:pPr>
        <w:pStyle w:val="NormalWeb"/>
        <w:numPr>
          <w:ilvl w:val="0"/>
          <w:numId w:val="11"/>
        </w:numPr>
        <w:spacing w:before="0" w:beforeAutospacing="0" w:after="0" w:afterAutospacing="0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lastRenderedPageBreak/>
        <w:t>Տարին առնվազն մեկ անգամ Կատարողը պետք է իրականացնի բիզնես անընդհատության և աղետների դիմակայման և վերականգնման ծրագիր՝  Պատվիրատուին ներկայացնելով ամփոփ հաշվետվություն Ծրագրի արդյունքների մասին։</w:t>
      </w:r>
      <w:r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br/>
      </w:r>
    </w:p>
    <w:p w:rsidR="0041596C" w:rsidRPr="000B565E" w:rsidRDefault="0041596C" w:rsidP="0041596C">
      <w:pPr>
        <w:ind w:firstLine="360"/>
        <w:rPr>
          <w:rFonts w:ascii="GHEA Grapalat" w:hAnsi="GHEA Grapalat" w:cs="Tahoma"/>
          <w:noProof/>
          <w:color w:val="000000"/>
          <w:sz w:val="20"/>
          <w:szCs w:val="20"/>
          <w:lang w:val="hy-AM"/>
        </w:rPr>
      </w:pPr>
      <w:r w:rsidRPr="000B565E">
        <w:rPr>
          <w:rFonts w:ascii="GHEA Grapalat" w:hAnsi="GHEA Grapalat" w:cs="Tahoma"/>
          <w:bCs/>
          <w:noProof/>
          <w:color w:val="000000"/>
          <w:sz w:val="20"/>
          <w:szCs w:val="20"/>
          <w:lang w:val="hy-AM"/>
        </w:rPr>
        <w:t>Ծրագրում պետքն է ներառված լինի համաճարակներին արձագանքման ընթացակարգ: Հնարավոր ազդեցությունների մեղմացման ռազմավարությունը կարող է ներառել տարբեր աշխարհագրական դիրքերում պահեստային թիմերի առկայությունը՝ հիմնաքարային գործընթացները տարածաշրջանից դուրս գտնվող թիմերին փոխանցելու համար: Հեռավար աշխատող անձնակազմի ցանկը</w:t>
      </w:r>
      <w:r w:rsidRPr="000B565E">
        <w:rPr>
          <w:rFonts w:ascii="GHEA Grapalat" w:hAnsi="GHEA Grapalat" w:cs="Tahoma"/>
          <w:noProof/>
          <w:color w:val="000000"/>
          <w:sz w:val="20"/>
          <w:szCs w:val="20"/>
          <w:lang w:val="hy-AM"/>
        </w:rPr>
        <w:t xml:space="preserve"> նախապես տրամադրվում և հաստատվում է Պատվիրատուի կողմից։</w:t>
      </w:r>
    </w:p>
    <w:p w:rsidR="0041596C" w:rsidRPr="000B565E" w:rsidRDefault="0041596C" w:rsidP="0041596C">
      <w:pPr>
        <w:ind w:firstLine="720"/>
        <w:jc w:val="both"/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</w:pPr>
      <w:r w:rsidRPr="000B565E"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  <w:t>Լրացուցիչ պահանջներ</w:t>
      </w:r>
    </w:p>
    <w:p w:rsidR="0041596C" w:rsidRPr="000B565E" w:rsidRDefault="0041596C" w:rsidP="0041596C">
      <w:pPr>
        <w:pStyle w:val="ListParagraph"/>
        <w:numPr>
          <w:ilvl w:val="0"/>
          <w:numId w:val="15"/>
        </w:numPr>
        <w:spacing w:before="0" w:after="0"/>
        <w:ind w:left="318"/>
        <w:jc w:val="both"/>
        <w:rPr>
          <w:rFonts w:ascii="GHEA Grapalat" w:hAnsi="GHEA Grapalat" w:cs="Tahoma"/>
          <w:noProof/>
          <w:sz w:val="20"/>
          <w:szCs w:val="20"/>
          <w:lang w:val="hy-AM"/>
        </w:rPr>
      </w:pPr>
      <w:r w:rsidRPr="000B565E">
        <w:rPr>
          <w:rFonts w:ascii="GHEA Grapalat" w:hAnsi="GHEA Grapalat" w:cs="Tahoma"/>
          <w:noProof/>
          <w:sz w:val="20"/>
          <w:szCs w:val="20"/>
          <w:lang w:val="hy-AM"/>
        </w:rPr>
        <w:t>Տվյալների պահոցները, հաշվողական ռեսուրսները և ցանցային լուծումները ապահովող սարքավորումները պետք է ֆիզիկապես տեղակայված լինեն ՀՀ տարածքում:</w:t>
      </w:r>
    </w:p>
    <w:p w:rsidR="0041596C" w:rsidRPr="000B565E" w:rsidRDefault="0041596C" w:rsidP="0041596C">
      <w:pPr>
        <w:pStyle w:val="ListParagraph"/>
        <w:numPr>
          <w:ilvl w:val="0"/>
          <w:numId w:val="15"/>
        </w:numPr>
        <w:spacing w:before="0" w:after="0"/>
        <w:ind w:left="318"/>
        <w:jc w:val="both"/>
        <w:rPr>
          <w:rFonts w:ascii="GHEA Grapalat" w:hAnsi="GHEA Grapalat" w:cs="Tahoma"/>
          <w:noProof/>
          <w:sz w:val="20"/>
          <w:szCs w:val="20"/>
          <w:lang w:val="hy-AM"/>
        </w:rPr>
      </w:pPr>
      <w:r w:rsidRPr="000B565E">
        <w:rPr>
          <w:rFonts w:ascii="GHEA Grapalat" w:hAnsi="GHEA Grapalat" w:cs="Tahoma"/>
          <w:noProof/>
          <w:sz w:val="20"/>
          <w:szCs w:val="20"/>
          <w:lang w:val="hy-AM"/>
        </w:rPr>
        <w:t>Ծառայությունների ակտիվացման օրը պատվիրատունին տրամադրել ռեսուրսների կառավարման վահանակի ադմինիստրատիվ մուտքի իրավունք, որի տրամադրմամբ Մատակարարն այլևս չի ունենում հնարավորություն մտնելու ռեսուրսների կառավարման վահանակ:</w:t>
      </w:r>
    </w:p>
    <w:p w:rsidR="0041596C" w:rsidRPr="000B565E" w:rsidRDefault="0041596C" w:rsidP="0041596C">
      <w:pPr>
        <w:pStyle w:val="ListParagraph"/>
        <w:numPr>
          <w:ilvl w:val="0"/>
          <w:numId w:val="15"/>
        </w:numPr>
        <w:spacing w:before="0" w:after="0"/>
        <w:ind w:left="318"/>
        <w:jc w:val="both"/>
        <w:rPr>
          <w:rFonts w:ascii="GHEA Grapalat" w:hAnsi="GHEA Grapalat" w:cs="Tahoma"/>
          <w:noProof/>
          <w:sz w:val="20"/>
          <w:szCs w:val="20"/>
          <w:lang w:val="hy-AM"/>
        </w:rPr>
      </w:pPr>
      <w:r w:rsidRPr="000B565E">
        <w:rPr>
          <w:rFonts w:ascii="GHEA Grapalat" w:hAnsi="GHEA Grapalat" w:cs="Tahoma"/>
          <w:noProof/>
          <w:sz w:val="20"/>
          <w:szCs w:val="20"/>
          <w:lang w:val="hy-AM"/>
        </w:rPr>
        <w:t xml:space="preserve">Տեխնիկական պլանային աշխատանքների իրականացման անհրաժեշտության դեպքում նախապես համաձայնեցնել աշխատանքների կատարման օրը և ժամային ինտերվալը պատվիրատուի հետ, ոչ ուշ քան հինգ աշխատանքային օր: </w:t>
      </w:r>
    </w:p>
    <w:p w:rsidR="0041596C" w:rsidRPr="000B565E" w:rsidRDefault="0041596C" w:rsidP="0041596C">
      <w:pPr>
        <w:pStyle w:val="ListParagraph"/>
        <w:numPr>
          <w:ilvl w:val="0"/>
          <w:numId w:val="15"/>
        </w:numPr>
        <w:spacing w:before="0" w:after="0"/>
        <w:ind w:left="318"/>
        <w:jc w:val="both"/>
        <w:rPr>
          <w:rFonts w:ascii="GHEA Grapalat" w:hAnsi="GHEA Grapalat" w:cs="Tahoma"/>
          <w:noProof/>
          <w:sz w:val="20"/>
          <w:szCs w:val="20"/>
          <w:lang w:val="hy-AM"/>
        </w:rPr>
      </w:pPr>
      <w:r w:rsidRPr="000B565E">
        <w:rPr>
          <w:rFonts w:ascii="GHEA Grapalat" w:hAnsi="GHEA Grapalat" w:cs="Tahoma"/>
          <w:noProof/>
          <w:sz w:val="20"/>
          <w:szCs w:val="20"/>
          <w:lang w:val="hy-AM"/>
        </w:rPr>
        <w:t>Ծառայությունները պետք է հասանելի լինեն առնվազն 99,9%-ով տարեկան։</w:t>
      </w:r>
    </w:p>
    <w:p w:rsidR="0041596C" w:rsidRPr="000B565E" w:rsidRDefault="0041596C" w:rsidP="0041596C">
      <w:pPr>
        <w:pStyle w:val="ListParagraph"/>
        <w:numPr>
          <w:ilvl w:val="0"/>
          <w:numId w:val="15"/>
        </w:numPr>
        <w:spacing w:before="0" w:after="0"/>
        <w:ind w:left="318"/>
        <w:jc w:val="both"/>
        <w:rPr>
          <w:rFonts w:ascii="GHEA Grapalat" w:hAnsi="GHEA Grapalat" w:cs="Tahoma"/>
          <w:noProof/>
          <w:sz w:val="20"/>
          <w:szCs w:val="20"/>
          <w:lang w:val="hy-AM"/>
        </w:rPr>
      </w:pPr>
      <w:r w:rsidRPr="000B565E">
        <w:rPr>
          <w:rFonts w:ascii="GHEA Grapalat" w:hAnsi="GHEA Grapalat" w:cs="Tahoma"/>
          <w:noProof/>
          <w:sz w:val="20"/>
          <w:szCs w:val="20"/>
          <w:lang w:val="hy-AM"/>
        </w:rPr>
        <w:t>ՏՄԿ նկատմամբ միջազգային ստանդարտների համապատասխանության մասին բոլոր պահանջների մասով Պայմանագրի կատարման փուլում պետք է ներկայացնել համապատասխան պահանջը բավարարող կամ դրան համարժեք լուծումը հավաստող փաստաթուղթ(հավաստագիր), համապատասխան ոլորտը կարգավորող կամ ճանաչված, միջազգային համբավ ունեցող կառույցի կողմից։</w:t>
      </w:r>
    </w:p>
    <w:p w:rsidR="0041596C" w:rsidRDefault="0041596C" w:rsidP="0041596C">
      <w:pPr>
        <w:spacing w:after="0" w:line="240" w:lineRule="auto"/>
        <w:ind w:firstLine="720"/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</w:p>
    <w:p w:rsidR="0041596C" w:rsidRDefault="0041596C" w:rsidP="0041596C">
      <w:pPr>
        <w:spacing w:after="0" w:line="240" w:lineRule="auto"/>
        <w:ind w:firstLine="720"/>
        <w:jc w:val="both"/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</w:pPr>
    </w:p>
    <w:p w:rsidR="0041596C" w:rsidRPr="00033B83" w:rsidRDefault="0041596C" w:rsidP="0041596C">
      <w:pPr>
        <w:pStyle w:val="ListParagraph"/>
        <w:spacing w:before="0" w:after="0"/>
        <w:ind w:left="-42" w:right="808" w:firstLine="0"/>
        <w:jc w:val="right"/>
        <w:rPr>
          <w:rFonts w:ascii="GHEA Grapalat" w:hAnsi="GHEA Grapalat" w:cs="Tahoma"/>
          <w:noProof/>
          <w:sz w:val="20"/>
          <w:szCs w:val="20"/>
          <w:lang w:val="hy-AM"/>
        </w:rPr>
      </w:pPr>
      <w:r>
        <w:rPr>
          <w:rFonts w:ascii="GHEA Grapalat" w:hAnsi="GHEA Grapalat" w:cs="Tahoma"/>
          <w:noProof/>
          <w:sz w:val="20"/>
          <w:szCs w:val="20"/>
          <w:shd w:val="clear" w:color="auto" w:fill="FFFFFF"/>
          <w:lang w:val="hy-AM"/>
        </w:rPr>
        <w:br w:type="page"/>
      </w:r>
      <w:r w:rsidRPr="00C962BD">
        <w:rPr>
          <w:rFonts w:ascii="GHEA Grapalat" w:hAnsi="GHEA Grapalat" w:cs="Tahoma"/>
          <w:noProof/>
          <w:sz w:val="20"/>
          <w:szCs w:val="20"/>
          <w:lang w:val="hy-AM"/>
        </w:rPr>
        <w:lastRenderedPageBreak/>
        <w:t>Հավելված 1</w:t>
      </w:r>
      <w:r w:rsidRPr="00033B83">
        <w:rPr>
          <w:rFonts w:ascii="GHEA Grapalat" w:hAnsi="GHEA Grapalat" w:cs="Tahoma"/>
          <w:noProof/>
          <w:sz w:val="20"/>
          <w:szCs w:val="20"/>
          <w:lang w:val="hy-AM"/>
        </w:rPr>
        <w:t>.1</w:t>
      </w:r>
    </w:p>
    <w:p w:rsidR="0041596C" w:rsidRPr="00C962BD" w:rsidRDefault="0041596C" w:rsidP="0041596C">
      <w:pPr>
        <w:pStyle w:val="ListParagraph"/>
        <w:spacing w:before="0" w:after="0"/>
        <w:ind w:left="-42" w:right="808" w:firstLine="0"/>
        <w:jc w:val="right"/>
        <w:rPr>
          <w:rFonts w:ascii="GHEA Grapalat" w:hAnsi="GHEA Grapalat" w:cs="Tahoma"/>
          <w:noProof/>
          <w:sz w:val="20"/>
          <w:szCs w:val="20"/>
          <w:lang w:val="hy-AM"/>
        </w:rPr>
      </w:pPr>
      <w:r w:rsidRPr="00C962BD">
        <w:rPr>
          <w:rFonts w:ascii="GHEA Grapalat" w:hAnsi="GHEA Grapalat" w:cs="Tahoma"/>
          <w:noProof/>
          <w:sz w:val="20"/>
          <w:szCs w:val="20"/>
          <w:lang w:val="hy-AM"/>
        </w:rPr>
        <w:t>«___________________» ծածկագրով</w:t>
      </w:r>
    </w:p>
    <w:p w:rsidR="0041596C" w:rsidRPr="00C962BD" w:rsidRDefault="0041596C" w:rsidP="0041596C">
      <w:pPr>
        <w:pStyle w:val="ListParagraph"/>
        <w:spacing w:before="0" w:after="0"/>
        <w:ind w:left="-42" w:right="808" w:firstLine="0"/>
        <w:jc w:val="right"/>
        <w:rPr>
          <w:rFonts w:ascii="GHEA Grapalat" w:hAnsi="GHEA Grapalat" w:cs="Tahoma"/>
          <w:noProof/>
          <w:sz w:val="20"/>
          <w:szCs w:val="20"/>
          <w:lang w:val="hy-AM"/>
        </w:rPr>
      </w:pPr>
      <w:r w:rsidRPr="00C962BD">
        <w:rPr>
          <w:rFonts w:ascii="GHEA Grapalat" w:hAnsi="GHEA Grapalat" w:cs="Tahoma"/>
          <w:noProof/>
          <w:sz w:val="20"/>
          <w:szCs w:val="20"/>
          <w:lang w:val="hy-AM"/>
        </w:rPr>
        <w:t>էլեկտրոնային աճուրդի հրավերի</w:t>
      </w:r>
    </w:p>
    <w:p w:rsidR="0041596C" w:rsidRPr="00C962BD" w:rsidRDefault="0041596C" w:rsidP="0041596C">
      <w:pPr>
        <w:pStyle w:val="ListParagraph"/>
        <w:spacing w:before="0" w:after="0"/>
        <w:ind w:left="-42" w:firstLine="0"/>
        <w:jc w:val="right"/>
        <w:rPr>
          <w:rFonts w:ascii="GHEA Grapalat" w:hAnsi="GHEA Grapalat" w:cs="Tahoma"/>
          <w:noProof/>
          <w:sz w:val="20"/>
          <w:szCs w:val="20"/>
          <w:lang w:val="hy-AM"/>
        </w:rPr>
      </w:pPr>
    </w:p>
    <w:p w:rsidR="0041596C" w:rsidRPr="00C962BD" w:rsidRDefault="0041596C" w:rsidP="0041596C">
      <w:pPr>
        <w:pStyle w:val="ListParagraph"/>
        <w:spacing w:before="0" w:after="0"/>
        <w:ind w:left="-42" w:firstLine="0"/>
        <w:jc w:val="both"/>
        <w:rPr>
          <w:rFonts w:ascii="GHEA Grapalat" w:hAnsi="GHEA Grapalat" w:cs="Tahoma"/>
          <w:noProof/>
          <w:sz w:val="20"/>
          <w:szCs w:val="20"/>
          <w:lang w:val="hy-AM"/>
        </w:rPr>
      </w:pPr>
    </w:p>
    <w:p w:rsidR="0041596C" w:rsidRPr="00C962BD" w:rsidRDefault="0041596C" w:rsidP="0041596C">
      <w:pPr>
        <w:pStyle w:val="ListParagraph"/>
        <w:spacing w:before="0" w:after="0"/>
        <w:ind w:left="-42" w:firstLine="0"/>
        <w:jc w:val="both"/>
        <w:rPr>
          <w:rFonts w:ascii="GHEA Grapalat" w:hAnsi="GHEA Grapalat" w:cs="Tahoma"/>
          <w:noProof/>
          <w:sz w:val="20"/>
          <w:szCs w:val="20"/>
          <w:lang w:val="hy-AM"/>
        </w:rPr>
      </w:pPr>
    </w:p>
    <w:p w:rsidR="0041596C" w:rsidRDefault="0041596C" w:rsidP="0041596C">
      <w:pPr>
        <w:pStyle w:val="ListParagraph"/>
        <w:spacing w:before="0" w:after="0"/>
        <w:ind w:left="-42" w:firstLine="0"/>
        <w:jc w:val="center"/>
        <w:rPr>
          <w:rFonts w:ascii="GHEA Grapalat" w:hAnsi="GHEA Grapalat" w:cs="Tahoma"/>
          <w:noProof/>
          <w:sz w:val="20"/>
          <w:szCs w:val="20"/>
          <w:lang w:val="hy-AM"/>
        </w:rPr>
      </w:pPr>
      <w:r w:rsidRPr="00C962BD">
        <w:rPr>
          <w:rFonts w:ascii="GHEA Grapalat" w:hAnsi="GHEA Grapalat" w:cs="Tahoma"/>
          <w:noProof/>
          <w:sz w:val="20"/>
          <w:szCs w:val="20"/>
          <w:lang w:val="hy-AM"/>
        </w:rPr>
        <w:t>Ծառայությունների մատուցման գնացուցակ</w:t>
      </w:r>
    </w:p>
    <w:p w:rsidR="0041596C" w:rsidRDefault="0041596C" w:rsidP="0041596C">
      <w:pPr>
        <w:pStyle w:val="ListParagraph"/>
        <w:spacing w:before="0" w:after="0"/>
        <w:ind w:left="-42" w:firstLine="0"/>
        <w:jc w:val="center"/>
        <w:rPr>
          <w:rFonts w:ascii="GHEA Grapalat" w:hAnsi="GHEA Grapalat" w:cs="Tahoma"/>
          <w:noProof/>
          <w:sz w:val="20"/>
          <w:szCs w:val="20"/>
          <w:lang w:val="hy-AM"/>
        </w:rPr>
      </w:pPr>
    </w:p>
    <w:tbl>
      <w:tblPr>
        <w:tblW w:w="14288" w:type="dxa"/>
        <w:tblInd w:w="279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581"/>
        <w:gridCol w:w="4315"/>
        <w:gridCol w:w="1467"/>
        <w:gridCol w:w="1935"/>
        <w:gridCol w:w="1680"/>
        <w:gridCol w:w="2310"/>
      </w:tblGrid>
      <w:tr w:rsidR="0041596C" w:rsidRPr="0041596C" w:rsidTr="00B70ED9">
        <w:trPr>
          <w:trHeight w:val="293"/>
        </w:trPr>
        <w:tc>
          <w:tcPr>
            <w:tcW w:w="2581" w:type="dxa"/>
            <w:vAlign w:val="center"/>
          </w:tcPr>
          <w:p w:rsidR="0041596C" w:rsidRPr="00A01B80" w:rsidRDefault="0041596C" w:rsidP="00B70ED9">
            <w:pPr>
              <w:spacing w:after="0" w:line="240" w:lineRule="auto"/>
              <w:jc w:val="center"/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>Անվանում</w:t>
            </w:r>
          </w:p>
        </w:tc>
        <w:tc>
          <w:tcPr>
            <w:tcW w:w="4315" w:type="dxa"/>
            <w:vAlign w:val="center"/>
          </w:tcPr>
          <w:p w:rsidR="0041596C" w:rsidRPr="00A01B80" w:rsidRDefault="0041596C" w:rsidP="00B70ED9">
            <w:pPr>
              <w:spacing w:after="0" w:line="240" w:lineRule="auto"/>
              <w:jc w:val="center"/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>Նկարագրություն</w:t>
            </w:r>
          </w:p>
        </w:tc>
        <w:tc>
          <w:tcPr>
            <w:tcW w:w="1467" w:type="dxa"/>
            <w:vAlign w:val="center"/>
          </w:tcPr>
          <w:p w:rsidR="0041596C" w:rsidRPr="00A01B80" w:rsidRDefault="0041596C" w:rsidP="00B70ED9">
            <w:pPr>
              <w:spacing w:after="0" w:line="240" w:lineRule="auto"/>
              <w:jc w:val="center"/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>Չափմ</w:t>
            </w:r>
            <w:r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>ան</w:t>
            </w:r>
            <w:r w:rsidRPr="00A01B80"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>մ</w:t>
            </w:r>
            <w:r w:rsidRPr="00A01B80"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>իավ</w:t>
            </w:r>
            <w:r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>որ</w:t>
            </w:r>
          </w:p>
        </w:tc>
        <w:tc>
          <w:tcPr>
            <w:tcW w:w="1935" w:type="dxa"/>
            <w:vAlign w:val="center"/>
          </w:tcPr>
          <w:p w:rsidR="0041596C" w:rsidRPr="00033B83" w:rsidRDefault="0041596C" w:rsidP="00B70ED9">
            <w:pPr>
              <w:spacing w:after="0" w:line="240" w:lineRule="auto"/>
              <w:jc w:val="center"/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 xml:space="preserve">Միավորի գին </w:t>
            </w:r>
            <w:r w:rsidRPr="00033B83"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>(</w:t>
            </w:r>
            <w:r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 xml:space="preserve">Դրամ </w:t>
            </w:r>
            <w:r w:rsidRPr="00033B83"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033B83"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br/>
              <w:t>ամսեկան</w:t>
            </w:r>
            <w:r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 xml:space="preserve"> կտրվածքով</w:t>
            </w:r>
            <w:r w:rsidRPr="00033B83"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>, ներառյալ ԱԱՀ)</w:t>
            </w:r>
          </w:p>
          <w:p w:rsidR="0041596C" w:rsidRPr="00033B83" w:rsidRDefault="0041596C" w:rsidP="00B70ED9">
            <w:pPr>
              <w:spacing w:after="0" w:line="240" w:lineRule="auto"/>
              <w:jc w:val="center"/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680" w:type="dxa"/>
            <w:vAlign w:val="center"/>
          </w:tcPr>
          <w:p w:rsidR="0041596C" w:rsidRPr="00FC1703" w:rsidRDefault="0041596C" w:rsidP="00B70ED9">
            <w:pPr>
              <w:spacing w:after="0" w:line="240" w:lineRule="auto"/>
              <w:jc w:val="center"/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>Առավելագույն քանակ</w:t>
            </w:r>
          </w:p>
        </w:tc>
        <w:tc>
          <w:tcPr>
            <w:tcW w:w="2310" w:type="dxa"/>
            <w:vAlign w:val="center"/>
          </w:tcPr>
          <w:p w:rsidR="0041596C" w:rsidRDefault="0041596C" w:rsidP="00B70ED9">
            <w:pPr>
              <w:spacing w:after="0" w:line="240" w:lineRule="auto"/>
              <w:jc w:val="center"/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 xml:space="preserve">Առավելագույն ընդհանուր ամսեկան արժեք </w:t>
            </w:r>
            <w:r w:rsidRPr="00033B83"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>(</w:t>
            </w:r>
            <w:r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>Դրամ</w:t>
            </w:r>
            <w:r w:rsidRPr="00033B83"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br/>
            </w:r>
            <w:r w:rsidRPr="00033B83">
              <w:rPr>
                <w:rFonts w:ascii="GHEA Grapalat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>ներառյալ ԱԱՀ)</w:t>
            </w:r>
          </w:p>
        </w:tc>
      </w:tr>
      <w:tr w:rsidR="0041596C" w:rsidRPr="00A01B80" w:rsidTr="00B70ED9">
        <w:tc>
          <w:tcPr>
            <w:tcW w:w="2581" w:type="dxa"/>
          </w:tcPr>
          <w:p w:rsidR="0041596C" w:rsidRPr="00A01B80" w:rsidRDefault="0041596C" w:rsidP="00B70ED9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Վիրտուալ պրոցեսոր (vCPU)</w:t>
            </w:r>
          </w:p>
        </w:tc>
        <w:tc>
          <w:tcPr>
            <w:tcW w:w="4315" w:type="dxa"/>
          </w:tcPr>
          <w:p w:rsidR="0041596C" w:rsidRPr="00A01B80" w:rsidRDefault="0041596C" w:rsidP="00B70ED9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առնվազն 2.5 գիգահերց արտադրողականությամբ</w:t>
            </w:r>
          </w:p>
        </w:tc>
        <w:tc>
          <w:tcPr>
            <w:tcW w:w="1467" w:type="dxa"/>
          </w:tcPr>
          <w:p w:rsidR="0041596C" w:rsidRPr="00A01B80" w:rsidRDefault="0041596C" w:rsidP="00B70ED9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935" w:type="dxa"/>
          </w:tcPr>
          <w:p w:rsidR="0041596C" w:rsidRPr="00A01B80" w:rsidRDefault="0041596C" w:rsidP="00B70ED9">
            <w:pPr>
              <w:spacing w:after="0" w:line="240" w:lineRule="auto"/>
              <w:jc w:val="right"/>
              <w:rPr>
                <w:rFonts w:ascii="GHEA Grapalat" w:hAnsi="GHEA Grapalat" w:cs="Tahoma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680" w:type="dxa"/>
          </w:tcPr>
          <w:p w:rsidR="0041596C" w:rsidRPr="003869F0" w:rsidRDefault="0041596C" w:rsidP="00B70ED9">
            <w:pPr>
              <w:spacing w:after="0" w:line="240" w:lineRule="auto"/>
              <w:jc w:val="right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800</w:t>
            </w:r>
          </w:p>
        </w:tc>
        <w:tc>
          <w:tcPr>
            <w:tcW w:w="2310" w:type="dxa"/>
          </w:tcPr>
          <w:p w:rsidR="0041596C" w:rsidRPr="00A01B80" w:rsidRDefault="0041596C" w:rsidP="00B70ED9">
            <w:pPr>
              <w:spacing w:after="0" w:line="240" w:lineRule="auto"/>
              <w:jc w:val="right"/>
              <w:rPr>
                <w:rFonts w:ascii="GHEA Grapalat" w:hAnsi="GHEA Grapalat" w:cs="Tahoma"/>
                <w:noProof/>
                <w:color w:val="000000"/>
                <w:sz w:val="16"/>
                <w:szCs w:val="16"/>
              </w:rPr>
            </w:pPr>
          </w:p>
        </w:tc>
      </w:tr>
      <w:tr w:rsidR="0041596C" w:rsidRPr="00A01B80" w:rsidTr="00B70ED9">
        <w:tc>
          <w:tcPr>
            <w:tcW w:w="2581" w:type="dxa"/>
          </w:tcPr>
          <w:p w:rsidR="0041596C" w:rsidRPr="00A01B80" w:rsidRDefault="0041596C" w:rsidP="00B70ED9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Օպերատիվ հիշողություն (RAM)</w:t>
            </w:r>
          </w:p>
        </w:tc>
        <w:tc>
          <w:tcPr>
            <w:tcW w:w="4315" w:type="dxa"/>
          </w:tcPr>
          <w:p w:rsidR="0041596C" w:rsidRPr="00A01B80" w:rsidRDefault="0041596C" w:rsidP="00B70ED9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DDR4 3200 MHz և ավել</w:t>
            </w:r>
          </w:p>
        </w:tc>
        <w:tc>
          <w:tcPr>
            <w:tcW w:w="1467" w:type="dxa"/>
          </w:tcPr>
          <w:p w:rsidR="0041596C" w:rsidRPr="00A01B80" w:rsidRDefault="0041596C" w:rsidP="00B70ED9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Գիգաբայթ (Gb)</w:t>
            </w:r>
          </w:p>
        </w:tc>
        <w:tc>
          <w:tcPr>
            <w:tcW w:w="1935" w:type="dxa"/>
          </w:tcPr>
          <w:p w:rsidR="0041596C" w:rsidRPr="00A01B80" w:rsidRDefault="0041596C" w:rsidP="00B70ED9">
            <w:pPr>
              <w:spacing w:after="0" w:line="240" w:lineRule="auto"/>
              <w:jc w:val="right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680" w:type="dxa"/>
          </w:tcPr>
          <w:p w:rsidR="0041596C" w:rsidRPr="00A01B80" w:rsidRDefault="0041596C" w:rsidP="00B70ED9">
            <w:pPr>
              <w:spacing w:after="0" w:line="240" w:lineRule="auto"/>
              <w:jc w:val="right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1,600</w:t>
            </w:r>
          </w:p>
        </w:tc>
        <w:tc>
          <w:tcPr>
            <w:tcW w:w="2310" w:type="dxa"/>
          </w:tcPr>
          <w:p w:rsidR="0041596C" w:rsidRPr="00A01B80" w:rsidRDefault="0041596C" w:rsidP="00B70ED9">
            <w:pPr>
              <w:spacing w:after="0" w:line="240" w:lineRule="auto"/>
              <w:jc w:val="right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</w:p>
        </w:tc>
      </w:tr>
      <w:tr w:rsidR="0041596C" w:rsidRPr="00A01B80" w:rsidTr="00B70ED9">
        <w:tc>
          <w:tcPr>
            <w:tcW w:w="2581" w:type="dxa"/>
          </w:tcPr>
          <w:p w:rsidR="0041596C" w:rsidRPr="00A01B80" w:rsidRDefault="0041596C" w:rsidP="00B70ED9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Հիմնական հիշողություն</w:t>
            </w:r>
          </w:p>
        </w:tc>
        <w:tc>
          <w:tcPr>
            <w:tcW w:w="4315" w:type="dxa"/>
          </w:tcPr>
          <w:p w:rsidR="0041596C" w:rsidRPr="00A01B80" w:rsidRDefault="0041596C" w:rsidP="00B70ED9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Աշխատանքային տվյալների պահոց/ծավալ</w:t>
            </w:r>
          </w:p>
        </w:tc>
        <w:tc>
          <w:tcPr>
            <w:tcW w:w="1467" w:type="dxa"/>
          </w:tcPr>
          <w:p w:rsidR="0041596C" w:rsidRPr="00A01B80" w:rsidRDefault="0041596C" w:rsidP="00B70ED9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Գիգաբայթ (Gb)</w:t>
            </w:r>
          </w:p>
        </w:tc>
        <w:tc>
          <w:tcPr>
            <w:tcW w:w="1935" w:type="dxa"/>
          </w:tcPr>
          <w:p w:rsidR="0041596C" w:rsidRPr="00A01B80" w:rsidRDefault="0041596C" w:rsidP="00B70ED9">
            <w:pPr>
              <w:spacing w:after="0" w:line="240" w:lineRule="auto"/>
              <w:jc w:val="right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680" w:type="dxa"/>
          </w:tcPr>
          <w:p w:rsidR="0041596C" w:rsidRPr="00A01B80" w:rsidRDefault="0041596C" w:rsidP="00B70ED9">
            <w:pPr>
              <w:spacing w:after="0" w:line="240" w:lineRule="auto"/>
              <w:jc w:val="right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100,000</w:t>
            </w:r>
          </w:p>
        </w:tc>
        <w:tc>
          <w:tcPr>
            <w:tcW w:w="2310" w:type="dxa"/>
          </w:tcPr>
          <w:p w:rsidR="0041596C" w:rsidRPr="00A01B80" w:rsidRDefault="0041596C" w:rsidP="00B70ED9">
            <w:pPr>
              <w:spacing w:after="0" w:line="240" w:lineRule="auto"/>
              <w:jc w:val="right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</w:p>
        </w:tc>
      </w:tr>
      <w:tr w:rsidR="0041596C" w:rsidRPr="00A01B80" w:rsidTr="00B70ED9">
        <w:tc>
          <w:tcPr>
            <w:tcW w:w="2581" w:type="dxa"/>
          </w:tcPr>
          <w:p w:rsidR="0041596C" w:rsidRPr="00A01B80" w:rsidRDefault="0041596C" w:rsidP="00B70ED9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Պահուստային հիշողություն</w:t>
            </w:r>
          </w:p>
        </w:tc>
        <w:tc>
          <w:tcPr>
            <w:tcW w:w="4315" w:type="dxa"/>
          </w:tcPr>
          <w:p w:rsidR="0041596C" w:rsidRPr="00A01B80" w:rsidRDefault="0041596C" w:rsidP="00B70ED9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Պահուստային տվյալների պահոց/ծավալ</w:t>
            </w:r>
          </w:p>
        </w:tc>
        <w:tc>
          <w:tcPr>
            <w:tcW w:w="1467" w:type="dxa"/>
          </w:tcPr>
          <w:p w:rsidR="0041596C" w:rsidRPr="00A01B80" w:rsidRDefault="0041596C" w:rsidP="00B70ED9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Գիգաբայթ (Gb)</w:t>
            </w:r>
          </w:p>
        </w:tc>
        <w:tc>
          <w:tcPr>
            <w:tcW w:w="1935" w:type="dxa"/>
          </w:tcPr>
          <w:p w:rsidR="0041596C" w:rsidRPr="00A01B80" w:rsidRDefault="0041596C" w:rsidP="00B70ED9">
            <w:pPr>
              <w:spacing w:after="0" w:line="240" w:lineRule="auto"/>
              <w:jc w:val="right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680" w:type="dxa"/>
          </w:tcPr>
          <w:p w:rsidR="0041596C" w:rsidRPr="00A01B80" w:rsidRDefault="0041596C" w:rsidP="00B70ED9">
            <w:pPr>
              <w:spacing w:after="0" w:line="240" w:lineRule="auto"/>
              <w:jc w:val="right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300,000</w:t>
            </w:r>
          </w:p>
        </w:tc>
        <w:tc>
          <w:tcPr>
            <w:tcW w:w="2310" w:type="dxa"/>
          </w:tcPr>
          <w:p w:rsidR="0041596C" w:rsidRPr="00A01B80" w:rsidRDefault="0041596C" w:rsidP="00B70ED9">
            <w:pPr>
              <w:spacing w:after="0" w:line="240" w:lineRule="auto"/>
              <w:jc w:val="right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</w:p>
        </w:tc>
      </w:tr>
      <w:tr w:rsidR="0041596C" w:rsidRPr="00A01B80" w:rsidTr="00B70ED9">
        <w:tc>
          <w:tcPr>
            <w:tcW w:w="2581" w:type="dxa"/>
          </w:tcPr>
          <w:p w:rsidR="0041596C" w:rsidRPr="008F3409" w:rsidRDefault="0041596C" w:rsidP="00B70ED9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C21178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Հանրային IP հասցե</w:t>
            </w:r>
            <w:r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ներ</w:t>
            </w:r>
          </w:p>
        </w:tc>
        <w:tc>
          <w:tcPr>
            <w:tcW w:w="4315" w:type="dxa"/>
          </w:tcPr>
          <w:p w:rsidR="0041596C" w:rsidRPr="00033B83" w:rsidRDefault="0041596C" w:rsidP="00B70ED9">
            <w:pPr>
              <w:spacing w:after="0" w:line="240" w:lineRule="auto"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033B83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/26 հանրային IPv4 ենթացանց (62 օգտագործելի IP հասցեներ)</w:t>
            </w:r>
          </w:p>
        </w:tc>
        <w:tc>
          <w:tcPr>
            <w:tcW w:w="1467" w:type="dxa"/>
          </w:tcPr>
          <w:p w:rsidR="0041596C" w:rsidRPr="00C21178" w:rsidRDefault="0041596C" w:rsidP="00B70ED9">
            <w:pPr>
              <w:spacing w:after="0" w:line="240" w:lineRule="auto"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935" w:type="dxa"/>
          </w:tcPr>
          <w:p w:rsidR="0041596C" w:rsidRPr="00A01B80" w:rsidRDefault="0041596C" w:rsidP="00B70ED9">
            <w:pPr>
              <w:spacing w:after="0" w:line="240" w:lineRule="auto"/>
              <w:jc w:val="right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680" w:type="dxa"/>
          </w:tcPr>
          <w:p w:rsidR="0041596C" w:rsidRPr="00A01B80" w:rsidRDefault="0041596C" w:rsidP="00B70ED9">
            <w:pPr>
              <w:spacing w:after="0" w:line="240" w:lineRule="auto"/>
              <w:jc w:val="right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310" w:type="dxa"/>
          </w:tcPr>
          <w:p w:rsidR="0041596C" w:rsidRPr="00A01B80" w:rsidRDefault="0041596C" w:rsidP="00B70ED9">
            <w:pPr>
              <w:spacing w:after="0" w:line="240" w:lineRule="auto"/>
              <w:jc w:val="right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</w:p>
        </w:tc>
      </w:tr>
      <w:tr w:rsidR="0041596C" w:rsidRPr="00A01B80" w:rsidTr="00B70ED9">
        <w:tc>
          <w:tcPr>
            <w:tcW w:w="2581" w:type="dxa"/>
          </w:tcPr>
          <w:p w:rsidR="0041596C" w:rsidRPr="003869F0" w:rsidRDefault="0041596C" w:rsidP="00B70ED9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</w:rPr>
            </w:pPr>
            <w:r w:rsidRPr="00C21178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Հաջորդ սերնդի հրեպատ</w:t>
            </w:r>
            <w:r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br/>
            </w:r>
            <w:r>
              <w:rPr>
                <w:rFonts w:ascii="GHEA Grapalat" w:hAnsi="GHEA Grapalat" w:cs="Tahoma"/>
                <w:noProof/>
                <w:color w:val="000000"/>
                <w:sz w:val="16"/>
                <w:szCs w:val="16"/>
              </w:rPr>
              <w:t>NGFW</w:t>
            </w:r>
          </w:p>
        </w:tc>
        <w:tc>
          <w:tcPr>
            <w:tcW w:w="4315" w:type="dxa"/>
          </w:tcPr>
          <w:p w:rsidR="0041596C" w:rsidRPr="003869F0" w:rsidRDefault="0041596C" w:rsidP="00B70ED9">
            <w:pPr>
              <w:spacing w:after="0" w:line="240" w:lineRule="auto"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3869F0">
              <w:rPr>
                <w:rFonts w:ascii="GHEA Grapalat" w:hAnsi="GHEA Grapalat" w:cs="Tahoma"/>
                <w:noProof/>
                <w:sz w:val="16"/>
                <w:szCs w:val="16"/>
              </w:rPr>
              <w:t>Ներառված հավաստագրեր</w:t>
            </w:r>
            <w:r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ը</w:t>
            </w:r>
          </w:p>
          <w:p w:rsidR="0041596C" w:rsidRPr="00871021" w:rsidRDefault="0041596C" w:rsidP="00B70ED9">
            <w:pPr>
              <w:spacing w:after="0" w:line="240" w:lineRule="auto"/>
              <w:rPr>
                <w:rFonts w:ascii="GHEA Grapalat" w:hAnsi="GHEA Grapalat" w:cs="Tahoma"/>
                <w:noProof/>
                <w:sz w:val="16"/>
                <w:szCs w:val="16"/>
              </w:rPr>
            </w:pPr>
            <w:r w:rsidRPr="003869F0">
              <w:rPr>
                <w:rFonts w:ascii="GHEA Grapalat" w:hAnsi="GHEA Grapalat" w:cs="Tahoma"/>
                <w:noProof/>
                <w:sz w:val="16"/>
                <w:szCs w:val="16"/>
              </w:rPr>
              <w:t>Licenses included</w:t>
            </w:r>
          </w:p>
        </w:tc>
        <w:tc>
          <w:tcPr>
            <w:tcW w:w="1467" w:type="dxa"/>
          </w:tcPr>
          <w:p w:rsidR="0041596C" w:rsidRPr="00C21178" w:rsidRDefault="0041596C" w:rsidP="00B70ED9">
            <w:pPr>
              <w:spacing w:after="0" w:line="240" w:lineRule="auto"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935" w:type="dxa"/>
          </w:tcPr>
          <w:p w:rsidR="0041596C" w:rsidRPr="00A01B80" w:rsidRDefault="0041596C" w:rsidP="00B70ED9">
            <w:pPr>
              <w:spacing w:after="0" w:line="240" w:lineRule="auto"/>
              <w:jc w:val="right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680" w:type="dxa"/>
          </w:tcPr>
          <w:p w:rsidR="0041596C" w:rsidRPr="00A01B80" w:rsidRDefault="0041596C" w:rsidP="00B70ED9">
            <w:pPr>
              <w:spacing w:after="0" w:line="240" w:lineRule="auto"/>
              <w:jc w:val="right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310" w:type="dxa"/>
          </w:tcPr>
          <w:p w:rsidR="0041596C" w:rsidRPr="00A01B80" w:rsidRDefault="0041596C" w:rsidP="00B70ED9">
            <w:pPr>
              <w:spacing w:after="0" w:line="240" w:lineRule="auto"/>
              <w:jc w:val="right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</w:p>
        </w:tc>
      </w:tr>
      <w:tr w:rsidR="0041596C" w:rsidRPr="00A01B80" w:rsidTr="00B70ED9">
        <w:tc>
          <w:tcPr>
            <w:tcW w:w="2581" w:type="dxa"/>
          </w:tcPr>
          <w:p w:rsidR="0041596C" w:rsidRPr="00A01B80" w:rsidRDefault="0041596C" w:rsidP="00B70ED9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8F3409"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Համացանցի հասանելիություն</w:t>
            </w:r>
          </w:p>
        </w:tc>
        <w:tc>
          <w:tcPr>
            <w:tcW w:w="4315" w:type="dxa"/>
          </w:tcPr>
          <w:p w:rsidR="0041596C" w:rsidRPr="00C21178" w:rsidRDefault="0041596C" w:rsidP="00B70ED9">
            <w:pPr>
              <w:spacing w:after="0" w:line="240" w:lineRule="auto"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երաշխավորված արագություն (CIR)</w:t>
            </w:r>
          </w:p>
        </w:tc>
        <w:tc>
          <w:tcPr>
            <w:tcW w:w="1467" w:type="dxa"/>
          </w:tcPr>
          <w:p w:rsidR="0041596C" w:rsidRPr="00C21178" w:rsidRDefault="0041596C" w:rsidP="00B70ED9">
            <w:pPr>
              <w:spacing w:after="0" w:line="240" w:lineRule="auto"/>
              <w:rPr>
                <w:rFonts w:ascii="GHEA Grapalat" w:hAnsi="GHEA Grapalat" w:cs="Tahoma"/>
                <w:noProof/>
                <w:sz w:val="16"/>
                <w:szCs w:val="16"/>
              </w:rPr>
            </w:pPr>
            <w:r w:rsidRPr="00C21178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Մբիթ/վ</w:t>
            </w:r>
            <w:r w:rsidRPr="00C21178">
              <w:rPr>
                <w:rFonts w:ascii="GHEA Grapalat" w:hAnsi="GHEA Grapalat" w:cs="Tahoma"/>
                <w:noProof/>
                <w:sz w:val="16"/>
                <w:szCs w:val="16"/>
              </w:rPr>
              <w:t xml:space="preserve"> (</w:t>
            </w:r>
            <w:r w:rsidRPr="00C21178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Mbit/s</w:t>
            </w:r>
            <w:r w:rsidRPr="00C21178">
              <w:rPr>
                <w:rFonts w:ascii="GHEA Grapalat" w:hAnsi="GHEA Grapalat" w:cs="Tahoma"/>
                <w:noProof/>
                <w:sz w:val="16"/>
                <w:szCs w:val="16"/>
              </w:rPr>
              <w:t>)</w:t>
            </w:r>
          </w:p>
        </w:tc>
        <w:tc>
          <w:tcPr>
            <w:tcW w:w="1935" w:type="dxa"/>
          </w:tcPr>
          <w:p w:rsidR="0041596C" w:rsidRPr="00A01B80" w:rsidRDefault="0041596C" w:rsidP="00B70ED9">
            <w:pPr>
              <w:spacing w:after="0" w:line="240" w:lineRule="auto"/>
              <w:jc w:val="right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680" w:type="dxa"/>
          </w:tcPr>
          <w:p w:rsidR="0041596C" w:rsidRPr="00A01B80" w:rsidRDefault="0041596C" w:rsidP="00B70ED9">
            <w:pPr>
              <w:spacing w:after="0" w:line="240" w:lineRule="auto"/>
              <w:jc w:val="right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500</w:t>
            </w:r>
          </w:p>
        </w:tc>
        <w:tc>
          <w:tcPr>
            <w:tcW w:w="2310" w:type="dxa"/>
          </w:tcPr>
          <w:p w:rsidR="0041596C" w:rsidRPr="00A01B80" w:rsidRDefault="0041596C" w:rsidP="00B70ED9">
            <w:pPr>
              <w:spacing w:after="0" w:line="240" w:lineRule="auto"/>
              <w:jc w:val="right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</w:p>
        </w:tc>
      </w:tr>
      <w:tr w:rsidR="0041596C" w:rsidRPr="00A01B80" w:rsidTr="00B70ED9">
        <w:tc>
          <w:tcPr>
            <w:tcW w:w="2581" w:type="dxa"/>
          </w:tcPr>
          <w:p w:rsidR="0041596C" w:rsidRPr="00C21178" w:rsidRDefault="0041596C" w:rsidP="00B70ED9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Տվյալների փոխանցման կապուղի</w:t>
            </w:r>
          </w:p>
        </w:tc>
        <w:tc>
          <w:tcPr>
            <w:tcW w:w="4315" w:type="dxa"/>
          </w:tcPr>
          <w:p w:rsidR="0041596C" w:rsidRPr="00033B83" w:rsidRDefault="0041596C" w:rsidP="00B70ED9">
            <w:pPr>
              <w:spacing w:after="0" w:line="240" w:lineRule="auto"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L2 </w:t>
            </w:r>
            <w:r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- </w:t>
            </w: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կետից կետ</w:t>
            </w:r>
            <w:r w:rsidRPr="00033B83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միացում՝ տվյալների մշակման կենտրոնից դեպի պատվիրատուի հասցե Երևանում</w:t>
            </w:r>
            <w:r w:rsidRPr="00033B83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,</w:t>
            </w:r>
          </w:p>
          <w:p w:rsidR="0041596C" w:rsidRPr="00C21178" w:rsidRDefault="0041596C" w:rsidP="00B70ED9">
            <w:pPr>
              <w:spacing w:after="0" w:line="240" w:lineRule="auto"/>
              <w:rPr>
                <w:rFonts w:ascii="GHEA Grapalat" w:hAnsi="GHEA Grapalat" w:cs="Tahoma"/>
                <w:noProof/>
                <w:sz w:val="16"/>
                <w:szCs w:val="16"/>
              </w:rPr>
            </w:pPr>
            <w:r w:rsidRPr="00A01B80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երաշխավորված արագություն (CIR)</w:t>
            </w:r>
          </w:p>
        </w:tc>
        <w:tc>
          <w:tcPr>
            <w:tcW w:w="1467" w:type="dxa"/>
          </w:tcPr>
          <w:p w:rsidR="0041596C" w:rsidRPr="00C21178" w:rsidRDefault="0041596C" w:rsidP="00B70ED9">
            <w:pPr>
              <w:spacing w:after="0" w:line="240" w:lineRule="auto"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  <w:r w:rsidRPr="00C21178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Մբիթ/վ</w:t>
            </w:r>
            <w:r w:rsidRPr="00C21178">
              <w:rPr>
                <w:rFonts w:ascii="GHEA Grapalat" w:hAnsi="GHEA Grapalat" w:cs="Tahoma"/>
                <w:noProof/>
                <w:sz w:val="16"/>
                <w:szCs w:val="16"/>
              </w:rPr>
              <w:t xml:space="preserve"> (</w:t>
            </w:r>
            <w:r w:rsidRPr="00C21178"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  <w:t>Mbit/s</w:t>
            </w:r>
            <w:r w:rsidRPr="00C21178">
              <w:rPr>
                <w:rFonts w:ascii="GHEA Grapalat" w:hAnsi="GHEA Grapalat" w:cs="Tahoma"/>
                <w:noProof/>
                <w:sz w:val="16"/>
                <w:szCs w:val="16"/>
              </w:rPr>
              <w:t>)</w:t>
            </w:r>
          </w:p>
        </w:tc>
        <w:tc>
          <w:tcPr>
            <w:tcW w:w="1935" w:type="dxa"/>
          </w:tcPr>
          <w:p w:rsidR="0041596C" w:rsidRPr="00A01B80" w:rsidRDefault="0041596C" w:rsidP="00B70ED9">
            <w:pPr>
              <w:spacing w:after="0" w:line="240" w:lineRule="auto"/>
              <w:jc w:val="right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680" w:type="dxa"/>
          </w:tcPr>
          <w:p w:rsidR="0041596C" w:rsidRPr="00A01B80" w:rsidRDefault="0041596C" w:rsidP="00B70ED9">
            <w:pPr>
              <w:spacing w:after="0" w:line="240" w:lineRule="auto"/>
              <w:jc w:val="right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1,000</w:t>
            </w:r>
          </w:p>
        </w:tc>
        <w:tc>
          <w:tcPr>
            <w:tcW w:w="2310" w:type="dxa"/>
          </w:tcPr>
          <w:p w:rsidR="0041596C" w:rsidRPr="00A01B80" w:rsidRDefault="0041596C" w:rsidP="00B70ED9">
            <w:pPr>
              <w:spacing w:after="0" w:line="240" w:lineRule="auto"/>
              <w:jc w:val="right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</w:p>
        </w:tc>
      </w:tr>
      <w:tr w:rsidR="0041596C" w:rsidRPr="00A01B80" w:rsidTr="00B70ED9">
        <w:tc>
          <w:tcPr>
            <w:tcW w:w="2581" w:type="dxa"/>
          </w:tcPr>
          <w:p w:rsidR="0041596C" w:rsidRDefault="0041596C" w:rsidP="00B70ED9">
            <w:pPr>
              <w:spacing w:after="0" w:line="240" w:lineRule="auto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315" w:type="dxa"/>
          </w:tcPr>
          <w:p w:rsidR="0041596C" w:rsidRPr="00A01B80" w:rsidRDefault="0041596C" w:rsidP="00B70ED9">
            <w:pPr>
              <w:spacing w:after="0" w:line="240" w:lineRule="auto"/>
              <w:rPr>
                <w:rFonts w:ascii="GHEA Grapalat" w:hAnsi="GHEA Grapalat" w:cs="Tahoma"/>
                <w:noProof/>
                <w:sz w:val="16"/>
                <w:szCs w:val="16"/>
                <w:lang w:val="hy-AM"/>
              </w:rPr>
            </w:pPr>
          </w:p>
        </w:tc>
        <w:tc>
          <w:tcPr>
            <w:tcW w:w="1467" w:type="dxa"/>
          </w:tcPr>
          <w:p w:rsidR="0041596C" w:rsidRPr="00FC1703" w:rsidRDefault="0041596C" w:rsidP="00B70ED9">
            <w:pPr>
              <w:spacing w:after="0" w:line="240" w:lineRule="auto"/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</w:pPr>
            <w:r w:rsidRPr="00FC1703">
              <w:rPr>
                <w:rFonts w:ascii="GHEA Grapalat" w:hAnsi="GHEA Grapalat" w:cs="Tahoma"/>
                <w:b/>
                <w:bCs/>
                <w:noProof/>
                <w:sz w:val="16"/>
                <w:szCs w:val="16"/>
                <w:lang w:val="hy-AM"/>
              </w:rPr>
              <w:t>Ընդամենը՝</w:t>
            </w:r>
          </w:p>
        </w:tc>
        <w:tc>
          <w:tcPr>
            <w:tcW w:w="1935" w:type="dxa"/>
          </w:tcPr>
          <w:p w:rsidR="0041596C" w:rsidRPr="00A01B80" w:rsidRDefault="0041596C" w:rsidP="00B70ED9">
            <w:pPr>
              <w:spacing w:after="0" w:line="240" w:lineRule="auto"/>
              <w:jc w:val="right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-</w:t>
            </w:r>
          </w:p>
        </w:tc>
        <w:tc>
          <w:tcPr>
            <w:tcW w:w="1680" w:type="dxa"/>
          </w:tcPr>
          <w:p w:rsidR="0041596C" w:rsidRPr="00A01B80" w:rsidRDefault="0041596C" w:rsidP="00B70ED9">
            <w:pPr>
              <w:spacing w:after="0" w:line="240" w:lineRule="auto"/>
              <w:jc w:val="right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  <w:t>-</w:t>
            </w:r>
          </w:p>
        </w:tc>
        <w:tc>
          <w:tcPr>
            <w:tcW w:w="2310" w:type="dxa"/>
          </w:tcPr>
          <w:p w:rsidR="0041596C" w:rsidRPr="00A01B80" w:rsidRDefault="0041596C" w:rsidP="00B70ED9">
            <w:pPr>
              <w:spacing w:after="0" w:line="240" w:lineRule="auto"/>
              <w:jc w:val="right"/>
              <w:rPr>
                <w:rFonts w:ascii="GHEA Grapalat" w:hAnsi="GHEA Grapalat" w:cs="Tahoma"/>
                <w:noProof/>
                <w:color w:val="000000"/>
                <w:sz w:val="16"/>
                <w:szCs w:val="16"/>
                <w:lang w:val="hy-AM"/>
              </w:rPr>
            </w:pPr>
          </w:p>
        </w:tc>
      </w:tr>
    </w:tbl>
    <w:p w:rsidR="0041596C" w:rsidRPr="00C962BD" w:rsidRDefault="0041596C" w:rsidP="0041596C">
      <w:pPr>
        <w:pStyle w:val="ListParagraph"/>
        <w:spacing w:before="0" w:after="0"/>
        <w:ind w:left="-42" w:firstLine="0"/>
        <w:jc w:val="center"/>
        <w:rPr>
          <w:rFonts w:ascii="GHEA Grapalat" w:hAnsi="GHEA Grapalat" w:cs="Tahoma"/>
          <w:noProof/>
          <w:sz w:val="20"/>
          <w:szCs w:val="20"/>
          <w:lang w:val="hy-AM"/>
        </w:rPr>
      </w:pPr>
    </w:p>
    <w:p w:rsidR="0041596C" w:rsidRPr="00C962BD" w:rsidRDefault="0041596C" w:rsidP="0041596C">
      <w:pPr>
        <w:pStyle w:val="ListParagraph"/>
        <w:spacing w:before="0" w:after="0"/>
        <w:ind w:left="284" w:right="666" w:firstLine="0"/>
        <w:jc w:val="both"/>
        <w:rPr>
          <w:rFonts w:ascii="GHEA Grapalat" w:hAnsi="GHEA Grapalat" w:cs="Tahoma"/>
          <w:noProof/>
          <w:sz w:val="20"/>
          <w:szCs w:val="20"/>
          <w:lang w:val="hy-AM"/>
        </w:rPr>
      </w:pPr>
    </w:p>
    <w:p w:rsidR="0041596C" w:rsidRPr="0041596C" w:rsidRDefault="0041596C" w:rsidP="0041596C">
      <w:pPr>
        <w:ind w:left="284" w:right="666" w:firstLine="708"/>
        <w:jc w:val="both"/>
        <w:rPr>
          <w:rFonts w:ascii="GHEA Grapalat" w:hAnsi="GHEA Grapalat" w:cs="Tahoma"/>
          <w:b/>
          <w:bCs/>
          <w:noProof/>
          <w:color w:val="FF0000"/>
          <w:sz w:val="20"/>
          <w:szCs w:val="20"/>
          <w:u w:val="single"/>
          <w:shd w:val="clear" w:color="auto" w:fill="FFFFFF"/>
          <w:lang w:val="hy-AM"/>
        </w:rPr>
      </w:pPr>
      <w:r w:rsidRPr="0041596C">
        <w:rPr>
          <w:rFonts w:ascii="GHEA Grapalat" w:hAnsi="GHEA Grapalat" w:cs="Tahoma"/>
          <w:b/>
          <w:bCs/>
          <w:noProof/>
          <w:color w:val="FF0000"/>
          <w:sz w:val="20"/>
          <w:szCs w:val="20"/>
          <w:u w:val="single"/>
          <w:shd w:val="clear" w:color="auto" w:fill="FFFFFF"/>
          <w:lang w:val="hy-AM"/>
        </w:rPr>
        <w:t>Եթե էլեկտրոնային աճուրդի ընթացքում գները նվազեցվում են, ապա ընտրված մասնակիցը պետք է ներկայացնի նոր՝ նվազեցված միավոր գների և առավելագույն ընդհանուր ամսական արժեքի բացվածքը՝ համաձայն Հավելված 1.1-ի։</w:t>
      </w:r>
    </w:p>
    <w:p w:rsidR="0041596C" w:rsidRDefault="0041596C" w:rsidP="0041596C">
      <w:pPr>
        <w:jc w:val="center"/>
        <w:rPr>
          <w:rFonts w:ascii="GHEA Grapalat" w:hAnsi="GHEA Grapalat"/>
          <w:b/>
          <w:noProof/>
          <w:lang w:val="hy-AM"/>
        </w:rPr>
      </w:pPr>
      <w:r w:rsidRPr="00001D71">
        <w:rPr>
          <w:rFonts w:ascii="GHEA Grapalat" w:eastAsia="Calibri" w:hAnsi="GHEA Grapalat" w:cs="Tahoma"/>
          <w:lang w:val="hy-AM" w:eastAsia="x-none"/>
        </w:rPr>
        <w:br w:type="page"/>
      </w:r>
    </w:p>
    <w:sectPr w:rsidR="0041596C" w:rsidSect="00432FC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7515B"/>
    <w:multiLevelType w:val="multilevel"/>
    <w:tmpl w:val="9760E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6F297E"/>
    <w:multiLevelType w:val="hybridMultilevel"/>
    <w:tmpl w:val="FDA40E10"/>
    <w:lvl w:ilvl="0" w:tplc="622E08DC">
      <w:start w:val="1"/>
      <w:numFmt w:val="decimal"/>
      <w:lvlText w:val="%1."/>
      <w:lvlJc w:val="left"/>
      <w:pPr>
        <w:ind w:left="644" w:hanging="360"/>
      </w:pPr>
      <w:rPr>
        <w:sz w:val="18"/>
        <w:szCs w:val="18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264" w:hanging="360"/>
      </w:pPr>
      <w:rPr>
        <w:rFonts w:ascii="Symbol" w:hAnsi="Symbol" w:hint="default"/>
      </w:rPr>
    </w:lvl>
    <w:lvl w:ilvl="3" w:tplc="04090003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E2841E2"/>
    <w:multiLevelType w:val="hybridMultilevel"/>
    <w:tmpl w:val="E8602D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12C7C"/>
    <w:multiLevelType w:val="hybridMultilevel"/>
    <w:tmpl w:val="E8602D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8C70CC"/>
    <w:multiLevelType w:val="hybridMultilevel"/>
    <w:tmpl w:val="3B9AD3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9EA68A7"/>
    <w:multiLevelType w:val="hybridMultilevel"/>
    <w:tmpl w:val="145EC6FE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B820C9D"/>
    <w:multiLevelType w:val="hybridMultilevel"/>
    <w:tmpl w:val="16562AA2"/>
    <w:lvl w:ilvl="0" w:tplc="040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75" w:hanging="360"/>
      </w:pPr>
      <w:rPr>
        <w:rFonts w:ascii="Wingdings" w:hAnsi="Wingdings" w:hint="default"/>
      </w:rPr>
    </w:lvl>
  </w:abstractNum>
  <w:abstractNum w:abstractNumId="7" w15:restartNumberingAfterBreak="0">
    <w:nsid w:val="204402D7"/>
    <w:multiLevelType w:val="hybridMultilevel"/>
    <w:tmpl w:val="2D7A0B28"/>
    <w:lvl w:ilvl="0" w:tplc="622E08DC">
      <w:start w:val="1"/>
      <w:numFmt w:val="decimal"/>
      <w:lvlText w:val="%1."/>
      <w:lvlJc w:val="left"/>
      <w:pPr>
        <w:ind w:left="644" w:hanging="360"/>
      </w:pPr>
      <w:rPr>
        <w:sz w:val="18"/>
        <w:szCs w:val="18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264" w:hanging="360"/>
      </w:pPr>
      <w:rPr>
        <w:rFonts w:ascii="Symbol" w:hAnsi="Symbol" w:hint="default"/>
      </w:rPr>
    </w:lvl>
    <w:lvl w:ilvl="3" w:tplc="04090003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BEF215C"/>
    <w:multiLevelType w:val="hybridMultilevel"/>
    <w:tmpl w:val="06FC6B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417C34"/>
    <w:multiLevelType w:val="hybridMultilevel"/>
    <w:tmpl w:val="6F80159A"/>
    <w:lvl w:ilvl="0" w:tplc="622E08DC">
      <w:start w:val="1"/>
      <w:numFmt w:val="decimal"/>
      <w:lvlText w:val="%1."/>
      <w:lvlJc w:val="left"/>
      <w:pPr>
        <w:ind w:left="644" w:hanging="360"/>
      </w:pPr>
      <w:rPr>
        <w:sz w:val="18"/>
        <w:szCs w:val="18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264" w:hanging="360"/>
      </w:pPr>
      <w:rPr>
        <w:rFonts w:ascii="Symbol" w:hAnsi="Symbol" w:hint="default"/>
      </w:rPr>
    </w:lvl>
    <w:lvl w:ilvl="3" w:tplc="04090003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70521C"/>
    <w:multiLevelType w:val="hybridMultilevel"/>
    <w:tmpl w:val="94FE438E"/>
    <w:lvl w:ilvl="0" w:tplc="622E08DC">
      <w:start w:val="1"/>
      <w:numFmt w:val="decimal"/>
      <w:lvlText w:val="%1."/>
      <w:lvlJc w:val="left"/>
      <w:pPr>
        <w:ind w:left="644" w:hanging="360"/>
      </w:pPr>
      <w:rPr>
        <w:sz w:val="18"/>
        <w:szCs w:val="18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264" w:hanging="360"/>
      </w:pPr>
      <w:rPr>
        <w:rFonts w:ascii="Symbol" w:hAnsi="Symbol" w:hint="default"/>
      </w:rPr>
    </w:lvl>
    <w:lvl w:ilvl="3" w:tplc="04090003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8C470AE"/>
    <w:multiLevelType w:val="hybridMultilevel"/>
    <w:tmpl w:val="35C09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3E2334"/>
    <w:multiLevelType w:val="hybridMultilevel"/>
    <w:tmpl w:val="7EEA7052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425F6E56"/>
    <w:multiLevelType w:val="hybridMultilevel"/>
    <w:tmpl w:val="C0C02F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574C0E"/>
    <w:multiLevelType w:val="hybridMultilevel"/>
    <w:tmpl w:val="C0C02F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0159A7"/>
    <w:multiLevelType w:val="hybridMultilevel"/>
    <w:tmpl w:val="57F029E0"/>
    <w:lvl w:ilvl="0" w:tplc="E7E2550A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EA3C93CE">
      <w:start w:val="1"/>
      <w:numFmt w:val="lowerLetter"/>
      <w:lvlText w:val="%2."/>
      <w:lvlJc w:val="left"/>
      <w:pPr>
        <w:ind w:left="1440" w:hanging="360"/>
      </w:pPr>
    </w:lvl>
    <w:lvl w:ilvl="2" w:tplc="F3CA3B96">
      <w:start w:val="1"/>
      <w:numFmt w:val="lowerRoman"/>
      <w:lvlText w:val="%3."/>
      <w:lvlJc w:val="right"/>
      <w:pPr>
        <w:ind w:left="2160" w:hanging="180"/>
      </w:pPr>
    </w:lvl>
    <w:lvl w:ilvl="3" w:tplc="3DDA4FAC">
      <w:start w:val="1"/>
      <w:numFmt w:val="decimal"/>
      <w:lvlText w:val="%4."/>
      <w:lvlJc w:val="left"/>
      <w:pPr>
        <w:ind w:left="2880" w:hanging="360"/>
      </w:pPr>
    </w:lvl>
    <w:lvl w:ilvl="4" w:tplc="EAD4754E">
      <w:start w:val="1"/>
      <w:numFmt w:val="lowerLetter"/>
      <w:lvlText w:val="%5."/>
      <w:lvlJc w:val="left"/>
      <w:pPr>
        <w:ind w:left="3600" w:hanging="360"/>
      </w:pPr>
    </w:lvl>
    <w:lvl w:ilvl="5" w:tplc="AF4A38F0">
      <w:start w:val="1"/>
      <w:numFmt w:val="lowerRoman"/>
      <w:lvlText w:val="%6."/>
      <w:lvlJc w:val="right"/>
      <w:pPr>
        <w:ind w:left="4320" w:hanging="180"/>
      </w:pPr>
    </w:lvl>
    <w:lvl w:ilvl="6" w:tplc="B5D652BA">
      <w:start w:val="1"/>
      <w:numFmt w:val="decimal"/>
      <w:lvlText w:val="%7."/>
      <w:lvlJc w:val="left"/>
      <w:pPr>
        <w:ind w:left="5040" w:hanging="360"/>
      </w:pPr>
    </w:lvl>
    <w:lvl w:ilvl="7" w:tplc="FBBC0D96">
      <w:start w:val="1"/>
      <w:numFmt w:val="lowerLetter"/>
      <w:lvlText w:val="%8."/>
      <w:lvlJc w:val="left"/>
      <w:pPr>
        <w:ind w:left="5760" w:hanging="360"/>
      </w:pPr>
    </w:lvl>
    <w:lvl w:ilvl="8" w:tplc="9352509E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C81C53"/>
    <w:multiLevelType w:val="hybridMultilevel"/>
    <w:tmpl w:val="690C5912"/>
    <w:lvl w:ilvl="0" w:tplc="622E08DC">
      <w:start w:val="1"/>
      <w:numFmt w:val="decimal"/>
      <w:lvlText w:val="%1."/>
      <w:lvlJc w:val="left"/>
      <w:pPr>
        <w:ind w:left="644" w:hanging="360"/>
      </w:pPr>
      <w:rPr>
        <w:sz w:val="18"/>
        <w:szCs w:val="18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264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B9A23C3"/>
    <w:multiLevelType w:val="hybridMultilevel"/>
    <w:tmpl w:val="4B020A02"/>
    <w:lvl w:ilvl="0" w:tplc="F7CAC40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61676A"/>
    <w:multiLevelType w:val="hybridMultilevel"/>
    <w:tmpl w:val="3D66F26E"/>
    <w:lvl w:ilvl="0" w:tplc="F05C9390">
      <w:start w:val="1"/>
      <w:numFmt w:val="decimal"/>
      <w:lvlText w:val="%1."/>
      <w:lvlJc w:val="left"/>
      <w:pPr>
        <w:ind w:left="1080" w:hanging="360"/>
      </w:pPr>
      <w:rPr>
        <w:sz w:val="18"/>
        <w:szCs w:val="18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FC03174"/>
    <w:multiLevelType w:val="hybridMultilevel"/>
    <w:tmpl w:val="E0664870"/>
    <w:lvl w:ilvl="0" w:tplc="622E08DC">
      <w:start w:val="1"/>
      <w:numFmt w:val="decimal"/>
      <w:lvlText w:val="%1."/>
      <w:lvlJc w:val="left"/>
      <w:pPr>
        <w:ind w:left="644" w:hanging="360"/>
      </w:pPr>
      <w:rPr>
        <w:sz w:val="18"/>
        <w:szCs w:val="18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264" w:hanging="360"/>
      </w:pPr>
      <w:rPr>
        <w:rFonts w:ascii="Symbol" w:hAnsi="Symbol" w:hint="default"/>
      </w:rPr>
    </w:lvl>
    <w:lvl w:ilvl="3" w:tplc="04090003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0092459"/>
    <w:multiLevelType w:val="hybridMultilevel"/>
    <w:tmpl w:val="5246A9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410226"/>
    <w:multiLevelType w:val="hybridMultilevel"/>
    <w:tmpl w:val="1706A4AE"/>
    <w:lvl w:ilvl="0" w:tplc="EA3C93CE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465152"/>
    <w:multiLevelType w:val="hybridMultilevel"/>
    <w:tmpl w:val="1100770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64E162B4"/>
    <w:multiLevelType w:val="hybridMultilevel"/>
    <w:tmpl w:val="3D66F26E"/>
    <w:lvl w:ilvl="0" w:tplc="F05C9390">
      <w:start w:val="1"/>
      <w:numFmt w:val="decimal"/>
      <w:lvlText w:val="%1."/>
      <w:lvlJc w:val="left"/>
      <w:pPr>
        <w:ind w:left="1080" w:hanging="360"/>
      </w:pPr>
      <w:rPr>
        <w:sz w:val="18"/>
        <w:szCs w:val="18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80424BB"/>
    <w:multiLevelType w:val="hybridMultilevel"/>
    <w:tmpl w:val="410842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D4B90"/>
    <w:multiLevelType w:val="hybridMultilevel"/>
    <w:tmpl w:val="1382DF88"/>
    <w:lvl w:ilvl="0" w:tplc="622E08DC">
      <w:start w:val="1"/>
      <w:numFmt w:val="decimal"/>
      <w:lvlText w:val="%1."/>
      <w:lvlJc w:val="left"/>
      <w:pPr>
        <w:ind w:left="644" w:hanging="360"/>
      </w:pPr>
      <w:rPr>
        <w:sz w:val="18"/>
        <w:szCs w:val="18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264" w:hanging="360"/>
      </w:pPr>
      <w:rPr>
        <w:rFonts w:ascii="Symbol" w:hAnsi="Symbol" w:hint="default"/>
      </w:rPr>
    </w:lvl>
    <w:lvl w:ilvl="3" w:tplc="04090003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EAE5FA7"/>
    <w:multiLevelType w:val="hybridMultilevel"/>
    <w:tmpl w:val="E188E33C"/>
    <w:lvl w:ilvl="0" w:tplc="0419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27" w15:restartNumberingAfterBreak="0">
    <w:nsid w:val="7334695F"/>
    <w:multiLevelType w:val="hybridMultilevel"/>
    <w:tmpl w:val="A10E1D3E"/>
    <w:lvl w:ilvl="0" w:tplc="622E08DC">
      <w:start w:val="1"/>
      <w:numFmt w:val="decimal"/>
      <w:lvlText w:val="%1."/>
      <w:lvlJc w:val="left"/>
      <w:pPr>
        <w:ind w:left="644" w:hanging="360"/>
      </w:pPr>
      <w:rPr>
        <w:sz w:val="18"/>
        <w:szCs w:val="18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264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66E3C7F"/>
    <w:multiLevelType w:val="hybridMultilevel"/>
    <w:tmpl w:val="291EAAAE"/>
    <w:lvl w:ilvl="0" w:tplc="622E08DC">
      <w:start w:val="1"/>
      <w:numFmt w:val="decimal"/>
      <w:lvlText w:val="%1."/>
      <w:lvlJc w:val="left"/>
      <w:pPr>
        <w:ind w:left="644" w:hanging="360"/>
      </w:pPr>
      <w:rPr>
        <w:sz w:val="18"/>
        <w:szCs w:val="18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264" w:hanging="360"/>
      </w:pPr>
      <w:rPr>
        <w:rFonts w:ascii="Symbol" w:hAnsi="Symbol" w:hint="default"/>
      </w:rPr>
    </w:lvl>
    <w:lvl w:ilvl="3" w:tplc="04090003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9075D3F"/>
    <w:multiLevelType w:val="hybridMultilevel"/>
    <w:tmpl w:val="1B04CE12"/>
    <w:lvl w:ilvl="0" w:tplc="622E08DC">
      <w:start w:val="1"/>
      <w:numFmt w:val="decimal"/>
      <w:lvlText w:val="%1."/>
      <w:lvlJc w:val="left"/>
      <w:pPr>
        <w:ind w:left="644" w:hanging="360"/>
      </w:pPr>
      <w:rPr>
        <w:sz w:val="18"/>
        <w:szCs w:val="18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264" w:hanging="360"/>
      </w:pPr>
      <w:rPr>
        <w:rFonts w:ascii="Symbol" w:hAnsi="Symbol" w:hint="default"/>
      </w:rPr>
    </w:lvl>
    <w:lvl w:ilvl="3" w:tplc="04090003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6"/>
  </w:num>
  <w:num w:numId="2">
    <w:abstractNumId w:val="22"/>
  </w:num>
  <w:num w:numId="3">
    <w:abstractNumId w:val="12"/>
  </w:num>
  <w:num w:numId="4">
    <w:abstractNumId w:val="5"/>
  </w:num>
  <w:num w:numId="5">
    <w:abstractNumId w:val="6"/>
  </w:num>
  <w:num w:numId="6">
    <w:abstractNumId w:val="0"/>
  </w:num>
  <w:num w:numId="7">
    <w:abstractNumId w:val="11"/>
  </w:num>
  <w:num w:numId="8">
    <w:abstractNumId w:val="4"/>
  </w:num>
  <w:num w:numId="9">
    <w:abstractNumId w:val="15"/>
  </w:num>
  <w:num w:numId="10">
    <w:abstractNumId w:val="16"/>
  </w:num>
  <w:num w:numId="11">
    <w:abstractNumId w:val="20"/>
  </w:num>
  <w:num w:numId="12">
    <w:abstractNumId w:val="23"/>
  </w:num>
  <w:num w:numId="13">
    <w:abstractNumId w:val="3"/>
  </w:num>
  <w:num w:numId="14">
    <w:abstractNumId w:val="13"/>
  </w:num>
  <w:num w:numId="15">
    <w:abstractNumId w:val="8"/>
  </w:num>
  <w:num w:numId="16">
    <w:abstractNumId w:val="27"/>
  </w:num>
  <w:num w:numId="17">
    <w:abstractNumId w:val="18"/>
  </w:num>
  <w:num w:numId="18">
    <w:abstractNumId w:val="2"/>
  </w:num>
  <w:num w:numId="19">
    <w:abstractNumId w:val="14"/>
  </w:num>
  <w:num w:numId="20">
    <w:abstractNumId w:val="24"/>
  </w:num>
  <w:num w:numId="21">
    <w:abstractNumId w:val="10"/>
  </w:num>
  <w:num w:numId="22">
    <w:abstractNumId w:val="29"/>
  </w:num>
  <w:num w:numId="23">
    <w:abstractNumId w:val="25"/>
  </w:num>
  <w:num w:numId="24">
    <w:abstractNumId w:val="7"/>
  </w:num>
  <w:num w:numId="25">
    <w:abstractNumId w:val="28"/>
  </w:num>
  <w:num w:numId="26">
    <w:abstractNumId w:val="19"/>
  </w:num>
  <w:num w:numId="27">
    <w:abstractNumId w:val="1"/>
  </w:num>
  <w:num w:numId="28">
    <w:abstractNumId w:val="9"/>
  </w:num>
  <w:num w:numId="29">
    <w:abstractNumId w:val="21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3F8"/>
    <w:rsid w:val="0041596C"/>
    <w:rsid w:val="00432FCA"/>
    <w:rsid w:val="004C5FB0"/>
    <w:rsid w:val="0059448F"/>
    <w:rsid w:val="00AA5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8ABD934"/>
  <w15:chartTrackingRefBased/>
  <w15:docId w15:val="{18E5EB29-FA7D-43B0-AD6D-A3B3A30F9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2FCA"/>
    <w:pPr>
      <w:spacing w:after="200" w:line="276" w:lineRule="auto"/>
    </w:pPr>
    <w:rPr>
      <w:rFonts w:ascii="Calibri" w:eastAsia="Times New Roman" w:hAnsi="Calibri" w:cs="Calibri"/>
      <w:lang w:val="en-US"/>
    </w:rPr>
  </w:style>
  <w:style w:type="paragraph" w:styleId="Heading1">
    <w:name w:val="heading 1"/>
    <w:basedOn w:val="Normal"/>
    <w:next w:val="Normal"/>
    <w:link w:val="Heading1Char"/>
    <w:qFormat/>
    <w:rsid w:val="00432FCA"/>
    <w:pPr>
      <w:keepNext/>
      <w:spacing w:after="0" w:line="240" w:lineRule="auto"/>
      <w:jc w:val="center"/>
      <w:outlineLvl w:val="0"/>
    </w:pPr>
    <w:rPr>
      <w:rFonts w:ascii="Arial Armenian" w:hAnsi="Arial Armenian" w:cs="Times New Roman"/>
      <w:sz w:val="28"/>
      <w:szCs w:val="20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432FCA"/>
    <w:pPr>
      <w:keepNext/>
      <w:spacing w:after="0" w:line="240" w:lineRule="auto"/>
      <w:jc w:val="both"/>
      <w:outlineLvl w:val="1"/>
    </w:pPr>
    <w:rPr>
      <w:rFonts w:ascii="Arial LatArm" w:hAnsi="Arial LatArm" w:cs="Times New Roman"/>
      <w:b/>
      <w:color w:val="0000FF"/>
      <w:sz w:val="20"/>
      <w:szCs w:val="20"/>
      <w:lang w:eastAsia="x-none"/>
    </w:rPr>
  </w:style>
  <w:style w:type="paragraph" w:styleId="Heading3">
    <w:name w:val="heading 3"/>
    <w:basedOn w:val="Normal"/>
    <w:next w:val="Normal"/>
    <w:link w:val="Heading3Char"/>
    <w:qFormat/>
    <w:rsid w:val="00432FCA"/>
    <w:pPr>
      <w:keepNext/>
      <w:spacing w:after="0" w:line="360" w:lineRule="auto"/>
      <w:jc w:val="center"/>
      <w:outlineLvl w:val="2"/>
    </w:pPr>
    <w:rPr>
      <w:rFonts w:ascii="Arial LatArm" w:hAnsi="Arial LatArm" w:cs="Times New Roman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432FCA"/>
    <w:pPr>
      <w:keepNext/>
      <w:spacing w:after="0" w:line="240" w:lineRule="auto"/>
      <w:outlineLvl w:val="3"/>
    </w:pPr>
    <w:rPr>
      <w:rFonts w:ascii="Arial LatArm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432FCA"/>
    <w:pPr>
      <w:keepNext/>
      <w:spacing w:after="0" w:line="240" w:lineRule="auto"/>
      <w:jc w:val="center"/>
      <w:outlineLvl w:val="4"/>
    </w:pPr>
    <w:rPr>
      <w:rFonts w:ascii="Arial LatArm" w:hAnsi="Arial LatArm" w:cs="Times New Roman"/>
      <w:b/>
      <w:sz w:val="26"/>
      <w:szCs w:val="20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432FCA"/>
    <w:pPr>
      <w:keepNext/>
      <w:spacing w:after="0" w:line="240" w:lineRule="auto"/>
      <w:outlineLvl w:val="5"/>
    </w:pPr>
    <w:rPr>
      <w:rFonts w:ascii="Arial LatArm" w:hAnsi="Arial LatArm" w:cs="Times New Roman"/>
      <w:b/>
      <w:color w:val="00000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432FCA"/>
    <w:pPr>
      <w:keepNext/>
      <w:spacing w:after="0" w:line="240" w:lineRule="auto"/>
      <w:ind w:left="-66"/>
      <w:jc w:val="center"/>
      <w:outlineLvl w:val="6"/>
    </w:pPr>
    <w:rPr>
      <w:rFonts w:ascii="Times Armenian" w:hAnsi="Times Armenian" w:cs="Times New Roman"/>
      <w:b/>
      <w:sz w:val="20"/>
      <w:szCs w:val="20"/>
      <w:lang w:val="hy-AM" w:eastAsia="x-none"/>
    </w:rPr>
  </w:style>
  <w:style w:type="paragraph" w:styleId="Heading8">
    <w:name w:val="heading 8"/>
    <w:basedOn w:val="Normal"/>
    <w:next w:val="Normal"/>
    <w:link w:val="Heading8Char"/>
    <w:qFormat/>
    <w:rsid w:val="00432FCA"/>
    <w:pPr>
      <w:keepNext/>
      <w:spacing w:after="0" w:line="240" w:lineRule="auto"/>
      <w:outlineLvl w:val="7"/>
    </w:pPr>
    <w:rPr>
      <w:rFonts w:ascii="Times Armenian" w:hAnsi="Times Armenian" w:cs="Times New Rom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432FCA"/>
    <w:pPr>
      <w:keepNext/>
      <w:spacing w:after="0" w:line="240" w:lineRule="auto"/>
      <w:jc w:val="center"/>
      <w:outlineLvl w:val="8"/>
    </w:pPr>
    <w:rPr>
      <w:rFonts w:ascii="Times Armenian" w:hAnsi="Times Armenian" w:cs="Times New Roman"/>
      <w:b/>
      <w:color w:val="000000"/>
      <w:szCs w:val="20"/>
      <w:lang w:val="pt-BR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32FCA"/>
    <w:rPr>
      <w:rFonts w:ascii="Arial Armenian" w:eastAsia="Times New Roman" w:hAnsi="Arial Armenian" w:cs="Times New Roman"/>
      <w:sz w:val="28"/>
      <w:szCs w:val="20"/>
      <w:lang w:val="en-US" w:eastAsia="x-none"/>
    </w:rPr>
  </w:style>
  <w:style w:type="character" w:customStyle="1" w:styleId="Heading2Char">
    <w:name w:val="Heading 2 Char"/>
    <w:basedOn w:val="DefaultParagraphFont"/>
    <w:link w:val="Heading2"/>
    <w:rsid w:val="00432FCA"/>
    <w:rPr>
      <w:rFonts w:ascii="Arial LatArm" w:eastAsia="Times New Roman" w:hAnsi="Arial LatArm" w:cs="Times New Roman"/>
      <w:b/>
      <w:color w:val="0000FF"/>
      <w:sz w:val="20"/>
      <w:szCs w:val="20"/>
      <w:lang w:val="en-US" w:eastAsia="x-none"/>
    </w:rPr>
  </w:style>
  <w:style w:type="character" w:customStyle="1" w:styleId="Heading3Char">
    <w:name w:val="Heading 3 Char"/>
    <w:basedOn w:val="DefaultParagraphFont"/>
    <w:link w:val="Heading3"/>
    <w:rsid w:val="00432FCA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432FCA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432FCA"/>
    <w:rPr>
      <w:rFonts w:ascii="Arial LatArm" w:eastAsia="Times New Roman" w:hAnsi="Arial LatArm" w:cs="Times New Roman"/>
      <w:b/>
      <w:sz w:val="26"/>
      <w:szCs w:val="20"/>
      <w:lang w:val="en-US" w:eastAsia="x-none"/>
    </w:rPr>
  </w:style>
  <w:style w:type="character" w:customStyle="1" w:styleId="Heading6Char">
    <w:name w:val="Heading 6 Char"/>
    <w:basedOn w:val="DefaultParagraphFont"/>
    <w:link w:val="Heading6"/>
    <w:rsid w:val="00432FCA"/>
    <w:rPr>
      <w:rFonts w:ascii="Arial LatArm" w:eastAsia="Times New Roman" w:hAnsi="Arial LatArm" w:cs="Times New Roman"/>
      <w:b/>
      <w:color w:val="000000"/>
      <w:szCs w:val="20"/>
      <w:lang w:val="en-US" w:eastAsia="x-none"/>
    </w:rPr>
  </w:style>
  <w:style w:type="character" w:customStyle="1" w:styleId="Heading7Char">
    <w:name w:val="Heading 7 Char"/>
    <w:basedOn w:val="DefaultParagraphFont"/>
    <w:link w:val="Heading7"/>
    <w:rsid w:val="00432FCA"/>
    <w:rPr>
      <w:rFonts w:ascii="Times Armenian" w:eastAsia="Times New Roman" w:hAnsi="Times Armenian" w:cs="Times New Roman"/>
      <w:b/>
      <w:sz w:val="20"/>
      <w:szCs w:val="20"/>
      <w:lang w:val="hy-AM" w:eastAsia="x-none"/>
    </w:rPr>
  </w:style>
  <w:style w:type="character" w:customStyle="1" w:styleId="Heading8Char">
    <w:name w:val="Heading 8 Char"/>
    <w:basedOn w:val="DefaultParagraphFont"/>
    <w:link w:val="Heading8"/>
    <w:rsid w:val="00432FCA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432FCA"/>
    <w:rPr>
      <w:rFonts w:ascii="Times Armenian" w:eastAsia="Times New Roman" w:hAnsi="Times Armenian" w:cs="Times New Roman"/>
      <w:b/>
      <w:color w:val="000000"/>
      <w:szCs w:val="20"/>
      <w:lang w:val="pt-BR" w:eastAsia="x-none"/>
    </w:rPr>
  </w:style>
  <w:style w:type="paragraph" w:styleId="BodyTextIndent2">
    <w:name w:val="Body Text Indent 2"/>
    <w:basedOn w:val="Normal"/>
    <w:link w:val="BodyTextIndent2Char"/>
    <w:rsid w:val="00432FCA"/>
    <w:pPr>
      <w:spacing w:before="120" w:after="0" w:line="360" w:lineRule="auto"/>
      <w:ind w:firstLine="426"/>
      <w:jc w:val="both"/>
    </w:pPr>
    <w:rPr>
      <w:rFonts w:ascii="Times Armenian" w:hAnsi="Times Armenian" w:cs="Times Armeni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432FCA"/>
    <w:rPr>
      <w:rFonts w:ascii="Times Armenian" w:eastAsia="Times New Roman" w:hAnsi="Times Armenian" w:cs="Times Armenian"/>
      <w:sz w:val="24"/>
      <w:szCs w:val="24"/>
      <w:lang w:val="en-US"/>
    </w:rPr>
  </w:style>
  <w:style w:type="paragraph" w:customStyle="1" w:styleId="CharCharCharCharCharCharCharCharCharCharCharChar">
    <w:name w:val="Char Char Char Char Char Char Char Char Char Char Char Char"/>
    <w:basedOn w:val="Normal"/>
    <w:rsid w:val="00432FCA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ListParagraph">
    <w:name w:val="List Paragraph"/>
    <w:aliases w:val="Akapit z listą BS,Bullets,List Paragraph 1,List_Paragraph,Multilevel para_II,References,List Paragraph (numbered (a)),IBL List Paragraph,List Paragraph nowy,Numbered List Paragraph,List Paragraph1,List Paragraph-ExecSummary,Liste 1,lp1"/>
    <w:basedOn w:val="Normal"/>
    <w:link w:val="ListParagraphChar"/>
    <w:uiPriority w:val="34"/>
    <w:qFormat/>
    <w:rsid w:val="00432FCA"/>
    <w:pPr>
      <w:spacing w:before="360" w:after="240" w:line="240" w:lineRule="auto"/>
      <w:ind w:left="720" w:hanging="576"/>
      <w:contextualSpacing/>
    </w:pPr>
    <w:rPr>
      <w:rFonts w:eastAsia="Calibri" w:cs="Times New Roman"/>
      <w:lang w:val="x-none" w:eastAsia="x-none"/>
    </w:rPr>
  </w:style>
  <w:style w:type="paragraph" w:styleId="BodyTextIndent">
    <w:name w:val="Body Text Indent"/>
    <w:aliases w:val=" Char, Char Char Char Char"/>
    <w:basedOn w:val="Normal"/>
    <w:link w:val="BodyTextIndentChar"/>
    <w:rsid w:val="00432FCA"/>
    <w:pPr>
      <w:spacing w:after="0" w:line="360" w:lineRule="auto"/>
      <w:ind w:firstLine="720"/>
      <w:jc w:val="both"/>
    </w:pPr>
    <w:rPr>
      <w:rFonts w:ascii="Arial LatArm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432FC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432FCA"/>
    <w:pPr>
      <w:tabs>
        <w:tab w:val="center" w:pos="4320"/>
        <w:tab w:val="right" w:pos="8640"/>
      </w:tabs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432FC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432FCA"/>
    <w:pPr>
      <w:spacing w:after="0" w:line="360" w:lineRule="auto"/>
      <w:ind w:firstLine="567"/>
      <w:jc w:val="both"/>
    </w:pPr>
    <w:rPr>
      <w:rFonts w:ascii="Times Armenian" w:hAnsi="Times Armenian" w:cs="Times New Rom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32FCA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432FCA"/>
    <w:pPr>
      <w:tabs>
        <w:tab w:val="left" w:pos="720"/>
      </w:tabs>
      <w:spacing w:after="0" w:line="360" w:lineRule="auto"/>
    </w:pPr>
    <w:rPr>
      <w:rFonts w:ascii="Arial LatArm" w:hAnsi="Arial LatArm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432FCA"/>
    <w:rPr>
      <w:rFonts w:ascii="Arial LatArm" w:eastAsia="Times New Roman" w:hAnsi="Arial LatArm" w:cs="Times New Roman"/>
      <w:sz w:val="20"/>
      <w:szCs w:val="20"/>
      <w:lang w:val="en-US"/>
    </w:rPr>
  </w:style>
  <w:style w:type="paragraph" w:customStyle="1" w:styleId="Default">
    <w:name w:val="Default"/>
    <w:rsid w:val="00432FCA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rsid w:val="00432FCA"/>
    <w:pPr>
      <w:spacing w:after="0" w:line="240" w:lineRule="auto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432FC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432FCA"/>
    <w:rPr>
      <w:color w:val="0000FF"/>
      <w:u w:val="single"/>
    </w:rPr>
  </w:style>
  <w:style w:type="character" w:customStyle="1" w:styleId="CharChar1">
    <w:name w:val="Char Char1"/>
    <w:locked/>
    <w:rsid w:val="00432FC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432FCA"/>
    <w:pPr>
      <w:spacing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432FC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dex1">
    <w:name w:val="index 1"/>
    <w:basedOn w:val="Normal"/>
    <w:next w:val="Normal"/>
    <w:autoRedefine/>
    <w:rsid w:val="00432FCA"/>
    <w:pPr>
      <w:spacing w:after="0" w:line="240" w:lineRule="auto"/>
      <w:ind w:left="240" w:hanging="240"/>
    </w:pPr>
    <w:rPr>
      <w:rFonts w:ascii="Times New Roman" w:hAnsi="Times New Roman" w:cs="Times New Roman"/>
      <w:sz w:val="24"/>
      <w:szCs w:val="24"/>
    </w:rPr>
  </w:style>
  <w:style w:type="paragraph" w:styleId="IndexHeading">
    <w:name w:val="index heading"/>
    <w:basedOn w:val="Normal"/>
    <w:next w:val="Index1"/>
    <w:rsid w:val="00432FCA"/>
    <w:pPr>
      <w:spacing w:after="0" w:line="240" w:lineRule="auto"/>
    </w:pPr>
    <w:rPr>
      <w:rFonts w:ascii="Times New Roman" w:hAnsi="Times New Roman" w:cs="Times New Roman"/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432FCA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 w:cs="Times New Roman"/>
      <w:sz w:val="20"/>
      <w:szCs w:val="20"/>
      <w:lang w:val="en-AU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432FCA"/>
    <w:rPr>
      <w:rFonts w:ascii="Times New Roman" w:eastAsia="Times New Roman" w:hAnsi="Times New Roman" w:cs="Times New Roman"/>
      <w:sz w:val="20"/>
      <w:szCs w:val="20"/>
      <w:lang w:val="en-AU" w:eastAsia="x-none"/>
    </w:rPr>
  </w:style>
  <w:style w:type="paragraph" w:styleId="BodyText3">
    <w:name w:val="Body Text 3"/>
    <w:basedOn w:val="Normal"/>
    <w:link w:val="BodyText3Char"/>
    <w:rsid w:val="00432FCA"/>
    <w:pPr>
      <w:spacing w:after="0" w:line="240" w:lineRule="auto"/>
      <w:jc w:val="both"/>
    </w:pPr>
    <w:rPr>
      <w:rFonts w:ascii="Arial LatArm" w:hAnsi="Arial LatArm" w:cs="Times New Roman"/>
      <w:sz w:val="20"/>
      <w:szCs w:val="2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432FCA"/>
    <w:rPr>
      <w:rFonts w:ascii="Arial LatArm" w:eastAsia="Times New Roman" w:hAnsi="Arial LatArm" w:cs="Times New Roman"/>
      <w:sz w:val="20"/>
      <w:szCs w:val="20"/>
      <w:lang w:val="en-US" w:eastAsia="x-none"/>
    </w:rPr>
  </w:style>
  <w:style w:type="paragraph" w:styleId="Title">
    <w:name w:val="Title"/>
    <w:basedOn w:val="Normal"/>
    <w:link w:val="TitleChar"/>
    <w:qFormat/>
    <w:rsid w:val="00432FCA"/>
    <w:pPr>
      <w:spacing w:after="0" w:line="240" w:lineRule="auto"/>
      <w:jc w:val="center"/>
    </w:pPr>
    <w:rPr>
      <w:rFonts w:ascii="Arial Armeni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432FCA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uiPriority w:val="99"/>
    <w:rsid w:val="00432FCA"/>
  </w:style>
  <w:style w:type="paragraph" w:styleId="FootnoteText">
    <w:name w:val="footnote text"/>
    <w:basedOn w:val="Normal"/>
    <w:link w:val="FootnoteTextChar"/>
    <w:rsid w:val="00432FCA"/>
    <w:pPr>
      <w:spacing w:after="0" w:line="240" w:lineRule="auto"/>
    </w:pPr>
    <w:rPr>
      <w:rFonts w:ascii="Times Armenian" w:hAnsi="Times Armenian" w:cs="Times New Roman"/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rsid w:val="00432FCA"/>
    <w:rPr>
      <w:rFonts w:ascii="Times Armenian" w:eastAsia="Times New Roman" w:hAnsi="Times Armenian" w:cs="Times New Roman"/>
      <w:sz w:val="20"/>
      <w:szCs w:val="20"/>
      <w:lang w:val="x-none" w:eastAsia="x-none"/>
    </w:rPr>
  </w:style>
  <w:style w:type="paragraph" w:customStyle="1" w:styleId="norm">
    <w:name w:val="norm"/>
    <w:basedOn w:val="Normal"/>
    <w:rsid w:val="00432FCA"/>
    <w:pPr>
      <w:spacing w:after="0" w:line="480" w:lineRule="auto"/>
      <w:ind w:firstLine="709"/>
      <w:jc w:val="both"/>
    </w:pPr>
    <w:rPr>
      <w:rFonts w:ascii="Arial Armenian" w:hAnsi="Arial Armenian" w:cs="Times New Roman"/>
      <w:szCs w:val="20"/>
      <w:lang w:eastAsia="ru-RU"/>
    </w:rPr>
  </w:style>
  <w:style w:type="character" w:customStyle="1" w:styleId="normChar">
    <w:name w:val="norm Char"/>
    <w:locked/>
    <w:rsid w:val="00432FCA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432FCA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432F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Strong">
    <w:name w:val="Strong"/>
    <w:qFormat/>
    <w:rsid w:val="00432FCA"/>
    <w:rPr>
      <w:b/>
      <w:bCs/>
    </w:rPr>
  </w:style>
  <w:style w:type="character" w:styleId="FootnoteReference">
    <w:name w:val="footnote reference"/>
    <w:rsid w:val="00432FCA"/>
    <w:rPr>
      <w:vertAlign w:val="superscript"/>
    </w:rPr>
  </w:style>
  <w:style w:type="character" w:customStyle="1" w:styleId="CharChar22">
    <w:name w:val="Char Char22"/>
    <w:rsid w:val="00432FCA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432FCA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432FCA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432FCA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432FCA"/>
    <w:rPr>
      <w:rFonts w:ascii="Arial Armenian" w:hAnsi="Arial Armenian"/>
      <w:lang w:val="en-US"/>
    </w:rPr>
  </w:style>
  <w:style w:type="character" w:styleId="CommentReference">
    <w:name w:val="annotation reference"/>
    <w:rsid w:val="00432FC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32FCA"/>
    <w:pPr>
      <w:spacing w:after="0" w:line="240" w:lineRule="auto"/>
    </w:pPr>
    <w:rPr>
      <w:rFonts w:ascii="Times Armenian" w:hAnsi="Times Armenian" w:cs="Times New Roman"/>
      <w:sz w:val="20"/>
      <w:szCs w:val="20"/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432FCA"/>
    <w:rPr>
      <w:rFonts w:ascii="Times Armenian" w:eastAsia="Times New Roman" w:hAnsi="Times Armenian" w:cs="Times New Roman"/>
      <w:sz w:val="20"/>
      <w:szCs w:val="20"/>
      <w:lang w:val="en-US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32F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32FCA"/>
    <w:rPr>
      <w:rFonts w:ascii="Times Armenian" w:eastAsia="Times New Roman" w:hAnsi="Times Armenian" w:cs="Times New Roman"/>
      <w:b/>
      <w:bCs/>
      <w:sz w:val="20"/>
      <w:szCs w:val="20"/>
      <w:lang w:val="en-US" w:eastAsia="x-none"/>
    </w:rPr>
  </w:style>
  <w:style w:type="paragraph" w:styleId="EndnoteText">
    <w:name w:val="endnote text"/>
    <w:basedOn w:val="Normal"/>
    <w:link w:val="EndnoteTextChar"/>
    <w:rsid w:val="00432FCA"/>
    <w:pPr>
      <w:spacing w:after="0" w:line="240" w:lineRule="auto"/>
    </w:pPr>
    <w:rPr>
      <w:rFonts w:ascii="Times Armenian" w:hAnsi="Times Armenian" w:cs="Times New Roman"/>
      <w:sz w:val="20"/>
      <w:szCs w:val="20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432FCA"/>
    <w:rPr>
      <w:rFonts w:ascii="Times Armenian" w:eastAsia="Times New Roman" w:hAnsi="Times Armenian" w:cs="Times New Roman"/>
      <w:sz w:val="20"/>
      <w:szCs w:val="20"/>
      <w:lang w:val="en-US" w:eastAsia="x-none"/>
    </w:rPr>
  </w:style>
  <w:style w:type="character" w:styleId="EndnoteReference">
    <w:name w:val="endnote reference"/>
    <w:rsid w:val="00432FCA"/>
    <w:rPr>
      <w:vertAlign w:val="superscript"/>
    </w:rPr>
  </w:style>
  <w:style w:type="paragraph" w:styleId="DocumentMap">
    <w:name w:val="Document Map"/>
    <w:basedOn w:val="Normal"/>
    <w:link w:val="DocumentMapChar"/>
    <w:rsid w:val="00432FCA"/>
    <w:pPr>
      <w:shd w:val="clear" w:color="auto" w:fill="000080"/>
      <w:spacing w:after="0" w:line="240" w:lineRule="auto"/>
    </w:pPr>
    <w:rPr>
      <w:rFonts w:ascii="Tahoma" w:hAnsi="Tahoma" w:cs="Times New Roman"/>
      <w:sz w:val="20"/>
      <w:szCs w:val="20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432FCA"/>
    <w:rPr>
      <w:rFonts w:ascii="Tahoma" w:eastAsia="Times New Roman" w:hAnsi="Tahoma" w:cs="Times New Roman"/>
      <w:sz w:val="20"/>
      <w:szCs w:val="20"/>
      <w:shd w:val="clear" w:color="auto" w:fill="000080"/>
      <w:lang w:val="en-US" w:eastAsia="x-none"/>
    </w:rPr>
  </w:style>
  <w:style w:type="paragraph" w:customStyle="1" w:styleId="Char1">
    <w:name w:val="Char1"/>
    <w:basedOn w:val="Normal"/>
    <w:rsid w:val="00432FCA"/>
    <w:pPr>
      <w:spacing w:after="160" w:line="240" w:lineRule="exact"/>
    </w:pPr>
    <w:rPr>
      <w:rFonts w:ascii="Verdana" w:hAnsi="Verdana" w:cs="Times New Roman"/>
      <w:sz w:val="20"/>
      <w:szCs w:val="20"/>
    </w:rPr>
  </w:style>
  <w:style w:type="paragraph" w:customStyle="1" w:styleId="Style2">
    <w:name w:val="Style2"/>
    <w:basedOn w:val="Normal"/>
    <w:rsid w:val="00432FCA"/>
    <w:pPr>
      <w:spacing w:after="0" w:line="240" w:lineRule="auto"/>
      <w:jc w:val="center"/>
    </w:pPr>
    <w:rPr>
      <w:rFonts w:ascii="Arial Armenian" w:hAnsi="Arial Armenian" w:cs="Times New Roman"/>
      <w:w w:val="90"/>
      <w:szCs w:val="20"/>
      <w:lang w:eastAsia="ru-RU"/>
    </w:rPr>
  </w:style>
  <w:style w:type="character" w:customStyle="1" w:styleId="CharChar23">
    <w:name w:val="Char Char23"/>
    <w:rsid w:val="00432FCA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432FCA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432FCA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432FCA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432FCA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432FCA"/>
    <w:pPr>
      <w:autoSpaceDE w:val="0"/>
      <w:autoSpaceDN w:val="0"/>
      <w:adjustRightInd w:val="0"/>
      <w:spacing w:after="0" w:line="240" w:lineRule="auto"/>
    </w:pPr>
    <w:rPr>
      <w:rFonts w:ascii="Times Armeni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432FCA"/>
    <w:pPr>
      <w:autoSpaceDE w:val="0"/>
      <w:autoSpaceDN w:val="0"/>
      <w:adjustRightInd w:val="0"/>
      <w:spacing w:after="0" w:line="240" w:lineRule="auto"/>
    </w:pPr>
    <w:rPr>
      <w:rFonts w:ascii="Times Armeni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432FCA"/>
    <w:pPr>
      <w:widowControl w:val="0"/>
      <w:bidi/>
      <w:adjustRightInd w:val="0"/>
      <w:spacing w:after="160" w:line="240" w:lineRule="exact"/>
    </w:pPr>
    <w:rPr>
      <w:rFonts w:ascii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432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432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432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432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432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432F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432F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432F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432F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432F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Normal"/>
    <w:rsid w:val="00432FC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432FC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432FC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432FC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432FC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432FC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432FC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432FC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432FC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432F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432F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432F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Normal"/>
    <w:rsid w:val="00432FCA"/>
    <w:pPr>
      <w:suppressAutoHyphens/>
      <w:spacing w:after="0" w:line="100" w:lineRule="atLeast"/>
      <w:ind w:left="240" w:hanging="240"/>
    </w:pPr>
    <w:rPr>
      <w:rFonts w:ascii="Times Armenian" w:hAnsi="Times Armenian" w:cs="Times New Rom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432FCA"/>
    <w:pPr>
      <w:suppressAutoHyphens/>
      <w:spacing w:after="0" w:line="100" w:lineRule="atLeast"/>
    </w:pPr>
    <w:rPr>
      <w:rFonts w:ascii="Times New Roman" w:hAnsi="Times New Roman" w:cs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rsid w:val="00432FCA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432FCA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432FCA"/>
    <w:rPr>
      <w:sz w:val="24"/>
      <w:szCs w:val="24"/>
      <w:lang w:val="en-US" w:eastAsia="en-US" w:bidi="ar-SA"/>
    </w:rPr>
  </w:style>
  <w:style w:type="character" w:customStyle="1" w:styleId="2">
    <w:name w:val="Основной текст2"/>
    <w:rsid w:val="00432FCA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17"/>
      <w:szCs w:val="17"/>
      <w:u w:val="single"/>
      <w:lang w:val="hy-AM" w:eastAsia="hy-AM" w:bidi="hy-AM"/>
    </w:rPr>
  </w:style>
  <w:style w:type="character" w:customStyle="1" w:styleId="a">
    <w:name w:val="Основной текст_"/>
    <w:link w:val="5"/>
    <w:rsid w:val="00432FCA"/>
    <w:rPr>
      <w:rFonts w:ascii="Tahoma" w:eastAsia="Tahoma" w:hAnsi="Tahoma" w:cs="Tahoma"/>
      <w:spacing w:val="6"/>
      <w:sz w:val="17"/>
      <w:szCs w:val="17"/>
    </w:rPr>
  </w:style>
  <w:style w:type="paragraph" w:customStyle="1" w:styleId="5">
    <w:name w:val="Основной текст5"/>
    <w:basedOn w:val="Normal"/>
    <w:link w:val="a"/>
    <w:rsid w:val="00432FCA"/>
    <w:pPr>
      <w:widowControl w:val="0"/>
      <w:spacing w:before="300" w:after="60" w:line="0" w:lineRule="atLeast"/>
      <w:jc w:val="right"/>
    </w:pPr>
    <w:rPr>
      <w:rFonts w:ascii="Tahoma" w:eastAsia="Tahoma" w:hAnsi="Tahoma" w:cs="Tahoma"/>
      <w:spacing w:val="6"/>
      <w:sz w:val="17"/>
      <w:szCs w:val="17"/>
      <w:lang w:val="ru-RU"/>
    </w:rPr>
  </w:style>
  <w:style w:type="character" w:customStyle="1" w:styleId="1">
    <w:name w:val="Основной текст1"/>
    <w:rsid w:val="00432FCA"/>
    <w:rPr>
      <w:rFonts w:ascii="Tahoma" w:eastAsia="Tahoma" w:hAnsi="Tahoma" w:cs="Tahoma"/>
      <w:color w:val="000000"/>
      <w:spacing w:val="6"/>
      <w:w w:val="100"/>
      <w:position w:val="0"/>
      <w:sz w:val="17"/>
      <w:szCs w:val="17"/>
      <w:lang w:val="hy-AM" w:eastAsia="hy-AM" w:bidi="hy-AM"/>
    </w:rPr>
  </w:style>
  <w:style w:type="character" w:customStyle="1" w:styleId="ListParagraphChar">
    <w:name w:val="List Paragraph Char"/>
    <w:aliases w:val="Akapit z listą BS Char,Bullets Char,List Paragraph 1 Char,List_Paragraph Char,Multilevel para_II Char,References Char,List Paragraph (numbered (a)) Char,IBL List Paragraph Char,List Paragraph nowy Char,Numbered List Paragraph Char"/>
    <w:link w:val="ListParagraph"/>
    <w:uiPriority w:val="34"/>
    <w:qFormat/>
    <w:locked/>
    <w:rsid w:val="00432FCA"/>
    <w:rPr>
      <w:rFonts w:ascii="Calibri" w:eastAsia="Calibri" w:hAnsi="Calibri" w:cs="Times New Roman"/>
      <w:lang w:val="x-none" w:eastAsia="x-none"/>
    </w:rPr>
  </w:style>
  <w:style w:type="table" w:styleId="TableGrid">
    <w:name w:val="Table Grid"/>
    <w:basedOn w:val="TableNormal"/>
    <w:uiPriority w:val="39"/>
    <w:rsid w:val="00432FCA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eastAsia="ja-JP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Light">
    <w:name w:val="Grid Table Light"/>
    <w:basedOn w:val="TableNormal"/>
    <w:uiPriority w:val="40"/>
    <w:rsid w:val="00432FCA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Revision">
    <w:name w:val="Revision"/>
    <w:hidden/>
    <w:semiHidden/>
    <w:rsid w:val="0041596C"/>
    <w:pPr>
      <w:spacing w:after="0" w:line="240" w:lineRule="auto"/>
    </w:pPr>
    <w:rPr>
      <w:rFonts w:ascii="Calibri" w:eastAsia="Times New Roman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0A8D5D-F1EE-449A-9237-BDB5BED98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22</Pages>
  <Words>7877</Words>
  <Characters>44905</Characters>
  <Application>Microsoft Office Word</Application>
  <DocSecurity>0</DocSecurity>
  <Lines>374</Lines>
  <Paragraphs>105</Paragraphs>
  <ScaleCrop>false</ScaleCrop>
  <Company>SPecialiST RePack</Company>
  <LinksUpToDate>false</LinksUpToDate>
  <CharactersWithSpaces>52677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Anahit Yeghiazaryan</cp:lastModifiedBy>
  <cp:revision>3</cp:revision>
  <dcterms:created xsi:type="dcterms:W3CDTF">2026-04-13T18:46:00Z</dcterms:created>
  <dcterms:modified xsi:type="dcterms:W3CDTF">2026-04-17T10:40:00Z</dcterms:modified>
</cp:coreProperties>
</file>